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77F84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</w:t>
                            </w:r>
                            <w:r w:rsidR="00E05DFD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</w:t>
                            </w:r>
                            <w:r w:rsidR="003D73AC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4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Default="003D73AC" w:rsidP="00A80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20</w:t>
                            </w:r>
                            <w:r w:rsidR="00E05DFD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April</w:t>
                            </w:r>
                            <w:r w:rsidR="00D37A59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8</w:t>
                            </w:r>
                          </w:p>
                          <w:p w:rsidR="00FA36AB" w:rsidRPr="002160AA" w:rsidRDefault="003D73AC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Groningen</w:t>
                            </w:r>
                            <w:r w:rsidR="005C366D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,</w:t>
                            </w:r>
                            <w:r w:rsidR="00E05DFD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Netherlands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77F84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</w:t>
                      </w:r>
                      <w:r w:rsidR="00E05DFD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</w:t>
                      </w:r>
                      <w:r w:rsidR="003D73AC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4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FA36AB" w:rsidRDefault="003D73AC" w:rsidP="00A80F4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20</w:t>
                      </w:r>
                      <w:r w:rsidR="00E05DFD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April</w:t>
                      </w:r>
                      <w:r w:rsidR="00D37A59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8</w:t>
                      </w:r>
                    </w:p>
                    <w:p w:rsidR="00FA36AB" w:rsidRPr="002160AA" w:rsidRDefault="003D73AC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Groningen</w:t>
                      </w:r>
                      <w:r w:rsidR="005C366D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,</w:t>
                      </w:r>
                      <w:r w:rsidR="00E05DFD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Netherlands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56381D" w:rsidRPr="0056381D">
        <w:rPr>
          <w:rFonts w:ascii="Arial" w:hAnsi="Arial" w:cs="Arial"/>
          <w:b/>
          <w:sz w:val="20"/>
          <w:szCs w:val="20"/>
          <w:lang w:val="en-GB"/>
        </w:rPr>
        <w:t>WSB 2</w:t>
      </w:r>
      <w:r w:rsidR="003D73AC">
        <w:rPr>
          <w:rFonts w:ascii="Arial" w:hAnsi="Arial" w:cs="Arial"/>
          <w:b/>
          <w:sz w:val="20"/>
          <w:szCs w:val="20"/>
          <w:lang w:val="en-GB"/>
        </w:rPr>
        <w:t>4</w:t>
      </w:r>
      <w:r w:rsidR="0056381D" w:rsidRPr="0056381D">
        <w:rPr>
          <w:rFonts w:ascii="Arial" w:hAnsi="Arial" w:cs="Arial"/>
          <w:b/>
          <w:sz w:val="20"/>
          <w:szCs w:val="20"/>
          <w:lang w:val="en-GB"/>
        </w:rPr>
        <w:t>/5.4</w:t>
      </w:r>
      <w:r w:rsidR="0056381D">
        <w:rPr>
          <w:rFonts w:ascii="Arial" w:hAnsi="Arial" w:cs="Arial"/>
          <w:b/>
          <w:sz w:val="20"/>
          <w:szCs w:val="20"/>
          <w:lang w:val="en-GB"/>
        </w:rPr>
        <w:t xml:space="preserve"> Climate</w:t>
      </w:r>
    </w:p>
    <w:p w:rsidR="007D5514" w:rsidRDefault="007D5514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35006B" w:rsidRDefault="003D6D11" w:rsidP="003E71DC">
      <w:pPr>
        <w:tabs>
          <w:tab w:val="left" w:pos="2160"/>
        </w:tabs>
        <w:ind w:left="2127" w:hanging="2127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6E62EF" w:rsidRPr="006E62EF">
        <w:rPr>
          <w:rFonts w:ascii="Arial" w:hAnsi="Arial" w:cs="Arial"/>
          <w:b/>
          <w:sz w:val="20"/>
          <w:szCs w:val="20"/>
          <w:lang w:val="en-GB"/>
        </w:rPr>
        <w:t>Task Group Climate (TG-C) Progress Report</w:t>
      </w:r>
      <w:r w:rsidR="00C51AD8">
        <w:rPr>
          <w:rFonts w:ascii="Arial" w:hAnsi="Arial" w:cs="Arial"/>
          <w:b/>
          <w:sz w:val="20"/>
          <w:szCs w:val="20"/>
          <w:lang w:val="en-GB"/>
        </w:rPr>
        <w:t xml:space="preserve"> and side event</w:t>
      </w:r>
    </w:p>
    <w:p w:rsidR="007D5514" w:rsidRDefault="007D5514" w:rsidP="007D5514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Document No.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6E62EF" w:rsidRPr="006E62EF">
        <w:rPr>
          <w:rFonts w:ascii="Arial" w:hAnsi="Arial" w:cs="Arial"/>
          <w:b/>
          <w:sz w:val="20"/>
          <w:szCs w:val="20"/>
          <w:lang w:val="en-GB"/>
        </w:rPr>
        <w:t>WSB 2</w:t>
      </w:r>
      <w:r w:rsidR="003D73AC">
        <w:rPr>
          <w:rFonts w:ascii="Arial" w:hAnsi="Arial" w:cs="Arial"/>
          <w:b/>
          <w:sz w:val="20"/>
          <w:szCs w:val="20"/>
          <w:lang w:val="en-GB"/>
        </w:rPr>
        <w:t>4</w:t>
      </w:r>
      <w:r w:rsidR="006E62EF" w:rsidRPr="006E62EF">
        <w:rPr>
          <w:rFonts w:ascii="Arial" w:hAnsi="Arial" w:cs="Arial"/>
          <w:b/>
          <w:sz w:val="20"/>
          <w:szCs w:val="20"/>
          <w:lang w:val="en-GB"/>
        </w:rPr>
        <w:t>/5.4</w:t>
      </w:r>
      <w:r w:rsidR="00077701">
        <w:rPr>
          <w:rFonts w:ascii="Arial" w:hAnsi="Arial" w:cs="Arial"/>
          <w:b/>
          <w:sz w:val="20"/>
          <w:szCs w:val="20"/>
          <w:lang w:val="en-GB"/>
        </w:rPr>
        <w:t>/</w:t>
      </w:r>
      <w:r w:rsidR="006E62EF" w:rsidRPr="006E62EF">
        <w:rPr>
          <w:rFonts w:ascii="Arial" w:hAnsi="Arial" w:cs="Arial"/>
          <w:b/>
          <w:sz w:val="20"/>
          <w:szCs w:val="20"/>
          <w:lang w:val="en-GB"/>
        </w:rPr>
        <w:t>1</w:t>
      </w:r>
    </w:p>
    <w:p w:rsidR="007D5514" w:rsidRDefault="007D5514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7D5514" w:rsidRDefault="003D6D11" w:rsidP="007D551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D20332">
        <w:rPr>
          <w:rFonts w:ascii="Arial" w:hAnsi="Arial" w:cs="Arial"/>
          <w:b/>
          <w:sz w:val="20"/>
          <w:szCs w:val="20"/>
          <w:lang w:val="en-GB"/>
        </w:rPr>
        <w:t>05 April</w:t>
      </w:r>
      <w:r w:rsidR="0056381D">
        <w:rPr>
          <w:rFonts w:ascii="Arial" w:hAnsi="Arial" w:cs="Arial"/>
          <w:b/>
          <w:sz w:val="20"/>
          <w:szCs w:val="20"/>
          <w:lang w:val="en-GB"/>
        </w:rPr>
        <w:t xml:space="preserve"> 20</w:t>
      </w:r>
      <w:r w:rsidR="00E05DFD">
        <w:rPr>
          <w:rFonts w:ascii="Arial" w:hAnsi="Arial" w:cs="Arial"/>
          <w:b/>
          <w:sz w:val="20"/>
          <w:szCs w:val="20"/>
          <w:lang w:val="en-GB"/>
        </w:rPr>
        <w:t>1</w:t>
      </w:r>
      <w:r w:rsidR="003D73AC">
        <w:rPr>
          <w:rFonts w:ascii="Arial" w:hAnsi="Arial" w:cs="Arial"/>
          <w:b/>
          <w:sz w:val="20"/>
          <w:szCs w:val="20"/>
          <w:lang w:val="en-GB"/>
        </w:rPr>
        <w:t>8</w:t>
      </w:r>
    </w:p>
    <w:p w:rsidR="003D6D11" w:rsidRDefault="003D6D11" w:rsidP="007D5514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7D5514" w:rsidRDefault="003D6D11" w:rsidP="007D551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56381D">
        <w:rPr>
          <w:rFonts w:ascii="Arial" w:hAnsi="Arial" w:cs="Arial"/>
          <w:b/>
          <w:sz w:val="20"/>
          <w:szCs w:val="20"/>
          <w:lang w:val="en-GB"/>
        </w:rPr>
        <w:t>CWSS</w:t>
      </w:r>
      <w:r w:rsidR="003D73AC">
        <w:rPr>
          <w:rFonts w:ascii="Arial" w:hAnsi="Arial" w:cs="Arial"/>
          <w:b/>
          <w:sz w:val="20"/>
          <w:szCs w:val="20"/>
          <w:lang w:val="en-GB"/>
        </w:rPr>
        <w:t>/TG-C</w:t>
      </w:r>
    </w:p>
    <w:p w:rsidR="003D6D11" w:rsidRDefault="003D6D11" w:rsidP="007D5514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7976A5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C51AD8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  <w:r>
        <w:rPr>
          <w:rFonts w:ascii="Arial" w:hAnsi="Arial" w:cs="Arial"/>
          <w:sz w:val="20"/>
          <w:lang w:val="en-GB" w:eastAsia="de-DE"/>
        </w:rPr>
        <w:t>The WSB instructed the Task Group Climate at WSB 22 to organise a side event at the Ministerial Governmental Conference in Leeuwarden.</w:t>
      </w:r>
    </w:p>
    <w:p w:rsidR="003E71DC" w:rsidRDefault="003E71DC" w:rsidP="00E05DFD">
      <w:pPr>
        <w:rPr>
          <w:rFonts w:ascii="Arial" w:hAnsi="Arial"/>
          <w:b/>
          <w:bCs/>
          <w:sz w:val="20"/>
          <w:szCs w:val="20"/>
          <w:lang w:val="en-GB"/>
        </w:rPr>
      </w:pPr>
    </w:p>
    <w:p w:rsidR="006E62EF" w:rsidRDefault="006E62EF" w:rsidP="00E05DFD">
      <w:pPr>
        <w:rPr>
          <w:rFonts w:ascii="Arial" w:hAnsi="Arial"/>
          <w:b/>
          <w:bCs/>
          <w:sz w:val="20"/>
          <w:szCs w:val="20"/>
          <w:lang w:val="en-GB"/>
        </w:rPr>
      </w:pPr>
    </w:p>
    <w:p w:rsidR="003E71DC" w:rsidRDefault="003D6D11" w:rsidP="005F7622">
      <w:pPr>
        <w:ind w:left="1418" w:hanging="1418"/>
        <w:rPr>
          <w:rFonts w:ascii="Arial" w:hAnsi="Arial"/>
          <w:b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>: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ab/>
      </w:r>
      <w:r w:rsidR="006E62EF" w:rsidRPr="006E62EF">
        <w:rPr>
          <w:rFonts w:ascii="Arial" w:hAnsi="Arial"/>
          <w:b/>
          <w:sz w:val="20"/>
          <w:szCs w:val="20"/>
          <w:lang w:val="en-GB"/>
        </w:rPr>
        <w:t xml:space="preserve">The WSB is invited to </w:t>
      </w:r>
      <w:r w:rsidR="005F7622">
        <w:rPr>
          <w:rFonts w:ascii="Arial" w:hAnsi="Arial"/>
          <w:b/>
          <w:sz w:val="20"/>
          <w:szCs w:val="20"/>
          <w:lang w:val="en-GB"/>
        </w:rPr>
        <w:t>note</w:t>
      </w:r>
      <w:r w:rsidR="006E62EF" w:rsidRPr="006E62EF">
        <w:rPr>
          <w:rFonts w:ascii="Arial" w:hAnsi="Arial"/>
          <w:b/>
          <w:sz w:val="20"/>
          <w:szCs w:val="20"/>
          <w:lang w:val="en-GB"/>
        </w:rPr>
        <w:t xml:space="preserve"> the progress report of TG-C</w:t>
      </w:r>
      <w:r w:rsidR="005F7622">
        <w:rPr>
          <w:rFonts w:ascii="Arial" w:hAnsi="Arial"/>
          <w:b/>
          <w:sz w:val="20"/>
          <w:szCs w:val="20"/>
          <w:lang w:val="en-GB"/>
        </w:rPr>
        <w:t xml:space="preserve"> and </w:t>
      </w:r>
      <w:r w:rsidR="003D73AC">
        <w:rPr>
          <w:rFonts w:ascii="Arial" w:hAnsi="Arial"/>
          <w:b/>
          <w:sz w:val="20"/>
          <w:szCs w:val="20"/>
          <w:lang w:val="en-GB"/>
        </w:rPr>
        <w:t>the presented approach for a side event</w:t>
      </w:r>
      <w:r w:rsidR="006E62EF" w:rsidRPr="006E62EF">
        <w:rPr>
          <w:rFonts w:ascii="Arial" w:hAnsi="Arial"/>
          <w:b/>
          <w:sz w:val="20"/>
          <w:szCs w:val="20"/>
          <w:lang w:val="en-GB"/>
        </w:rPr>
        <w:t>.</w:t>
      </w:r>
    </w:p>
    <w:p w:rsidR="003E71DC" w:rsidRDefault="003E71DC" w:rsidP="00E05DFD">
      <w:pPr>
        <w:rPr>
          <w:rFonts w:ascii="Arial" w:hAnsi="Arial"/>
          <w:b/>
          <w:sz w:val="20"/>
          <w:szCs w:val="20"/>
          <w:lang w:val="en-GB"/>
        </w:rPr>
      </w:pPr>
    </w:p>
    <w:p w:rsidR="00493DAA" w:rsidRDefault="0035006B" w:rsidP="00493DAA">
      <w:pPr>
        <w:jc w:val="center"/>
      </w:pPr>
      <w:r w:rsidRPr="0035006B">
        <w:br/>
      </w:r>
      <w:r w:rsidR="001C042F" w:rsidRPr="00615200">
        <w:rPr>
          <w:rFonts w:ascii="Arial" w:hAnsi="Arial" w:cs="Arial"/>
        </w:rPr>
        <w:br w:type="page"/>
      </w:r>
      <w:r w:rsidR="00493DAA">
        <w:lastRenderedPageBreak/>
        <w:t xml:space="preserve"> </w:t>
      </w:r>
    </w:p>
    <w:p w:rsidR="00493DAA" w:rsidRPr="00493DAA" w:rsidRDefault="00493DAA" w:rsidP="00493DAA">
      <w:pPr>
        <w:spacing w:after="200" w:line="276" w:lineRule="auto"/>
        <w:ind w:left="426"/>
        <w:contextualSpacing/>
        <w:jc w:val="center"/>
        <w:rPr>
          <w:rFonts w:ascii="Arial" w:eastAsia="Calibri" w:hAnsi="Arial" w:cs="Arial"/>
          <w:b/>
          <w:sz w:val="22"/>
          <w:szCs w:val="22"/>
          <w:lang w:val="en-GB"/>
        </w:rPr>
      </w:pPr>
      <w:r w:rsidRPr="00493DAA">
        <w:rPr>
          <w:rFonts w:ascii="Arial" w:eastAsia="Calibri" w:hAnsi="Arial" w:cs="Arial"/>
          <w:b/>
          <w:sz w:val="22"/>
          <w:szCs w:val="22"/>
          <w:lang w:val="en-GB"/>
        </w:rPr>
        <w:t>TASK GROUP CLIMATE</w:t>
      </w:r>
      <w:r w:rsidRPr="00493DAA">
        <w:rPr>
          <w:rFonts w:ascii="Arial" w:eastAsia="Calibri" w:hAnsi="Arial" w:cs="Arial"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62336" behindDoc="1" locked="0" layoutInCell="1" allowOverlap="1" wp14:anchorId="0DC1E5FD" wp14:editId="62A0E4DD">
            <wp:simplePos x="0" y="0"/>
            <wp:positionH relativeFrom="column">
              <wp:posOffset>4598670</wp:posOffset>
            </wp:positionH>
            <wp:positionV relativeFrom="paragraph">
              <wp:posOffset>120015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3DAA" w:rsidRPr="00493DAA" w:rsidRDefault="00493DAA" w:rsidP="00493DAA">
      <w:pPr>
        <w:spacing w:after="200" w:line="276" w:lineRule="auto"/>
        <w:ind w:left="426"/>
        <w:contextualSpacing/>
        <w:jc w:val="center"/>
        <w:rPr>
          <w:rFonts w:ascii="Arial" w:eastAsia="Calibri" w:hAnsi="Arial" w:cs="Arial"/>
          <w:b/>
          <w:sz w:val="22"/>
          <w:szCs w:val="22"/>
          <w:lang w:val="en-GB"/>
        </w:rPr>
      </w:pPr>
    </w:p>
    <w:p w:rsidR="00493DAA" w:rsidRPr="00493DAA" w:rsidRDefault="00493DAA" w:rsidP="00493DAA">
      <w:pPr>
        <w:spacing w:after="200" w:line="276" w:lineRule="auto"/>
        <w:ind w:left="426"/>
        <w:contextualSpacing/>
        <w:jc w:val="center"/>
        <w:rPr>
          <w:rFonts w:ascii="Arial" w:eastAsia="Calibri" w:hAnsi="Arial" w:cs="Arial"/>
          <w:b/>
          <w:sz w:val="22"/>
          <w:szCs w:val="22"/>
          <w:lang w:val="en-GB"/>
        </w:rPr>
      </w:pPr>
      <w:r w:rsidRPr="00493DAA">
        <w:rPr>
          <w:rFonts w:ascii="Arial" w:eastAsia="Calibri" w:hAnsi="Arial" w:cs="Arial"/>
          <w:b/>
          <w:sz w:val="22"/>
          <w:szCs w:val="22"/>
          <w:lang w:val="en-GB"/>
        </w:rPr>
        <w:t>Progress report to WSB 2</w:t>
      </w:r>
      <w:r w:rsidR="003D73AC">
        <w:rPr>
          <w:rFonts w:ascii="Arial" w:eastAsia="Calibri" w:hAnsi="Arial" w:cs="Arial"/>
          <w:b/>
          <w:sz w:val="22"/>
          <w:szCs w:val="22"/>
          <w:lang w:val="en-GB"/>
        </w:rPr>
        <w:t>4</w:t>
      </w:r>
    </w:p>
    <w:p w:rsidR="00493DAA" w:rsidRPr="00493DAA" w:rsidRDefault="00493DAA" w:rsidP="00493DAA">
      <w:pPr>
        <w:spacing w:after="200" w:line="276" w:lineRule="auto"/>
        <w:ind w:left="426"/>
        <w:contextualSpacing/>
        <w:jc w:val="center"/>
        <w:rPr>
          <w:rFonts w:ascii="Arial" w:eastAsia="Calibri" w:hAnsi="Arial" w:cs="Arial"/>
          <w:b/>
          <w:sz w:val="22"/>
          <w:szCs w:val="22"/>
          <w:lang w:val="en-GB"/>
        </w:rPr>
      </w:pPr>
    </w:p>
    <w:p w:rsidR="00493DAA" w:rsidRPr="00493DAA" w:rsidRDefault="00493DAA" w:rsidP="00493DAA">
      <w:pPr>
        <w:spacing w:after="200" w:line="276" w:lineRule="auto"/>
        <w:ind w:left="426"/>
        <w:contextualSpacing/>
        <w:jc w:val="center"/>
        <w:rPr>
          <w:rFonts w:ascii="Arial" w:eastAsia="Calibri" w:hAnsi="Arial" w:cs="Arial"/>
          <w:b/>
          <w:sz w:val="22"/>
          <w:szCs w:val="22"/>
          <w:lang w:val="en-GB"/>
        </w:rPr>
      </w:pPr>
      <w:r w:rsidRPr="00493DAA">
        <w:rPr>
          <w:rFonts w:ascii="Arial" w:eastAsia="Calibri" w:hAnsi="Arial" w:cs="Arial"/>
          <w:b/>
          <w:sz w:val="22"/>
          <w:szCs w:val="22"/>
          <w:lang w:val="en-GB"/>
        </w:rPr>
        <w:t xml:space="preserve">Wilhelmshaven, </w:t>
      </w:r>
      <w:r w:rsidR="004A5C0F">
        <w:rPr>
          <w:rFonts w:ascii="Arial" w:eastAsia="Calibri" w:hAnsi="Arial" w:cs="Arial"/>
          <w:b/>
          <w:sz w:val="22"/>
          <w:szCs w:val="22"/>
          <w:lang w:val="en-GB"/>
        </w:rPr>
        <w:t>05</w:t>
      </w:r>
      <w:r w:rsidRPr="00493DAA">
        <w:rPr>
          <w:rFonts w:ascii="Arial" w:eastAsia="Calibri" w:hAnsi="Arial" w:cs="Arial"/>
          <w:b/>
          <w:sz w:val="22"/>
          <w:szCs w:val="22"/>
          <w:lang w:val="en-GB"/>
        </w:rPr>
        <w:t xml:space="preserve"> </w:t>
      </w:r>
      <w:r w:rsidR="004A5C0F">
        <w:rPr>
          <w:rFonts w:ascii="Arial" w:eastAsia="Calibri" w:hAnsi="Arial" w:cs="Arial"/>
          <w:b/>
          <w:sz w:val="22"/>
          <w:szCs w:val="22"/>
          <w:lang w:val="en-GB"/>
        </w:rPr>
        <w:t>April</w:t>
      </w:r>
      <w:r w:rsidRPr="00493DAA">
        <w:rPr>
          <w:rFonts w:ascii="Arial" w:eastAsia="Calibri" w:hAnsi="Arial" w:cs="Arial"/>
          <w:b/>
          <w:sz w:val="22"/>
          <w:szCs w:val="22"/>
          <w:lang w:val="en-GB"/>
        </w:rPr>
        <w:t xml:space="preserve"> 201</w:t>
      </w:r>
      <w:r w:rsidR="003D73AC">
        <w:rPr>
          <w:rFonts w:ascii="Arial" w:eastAsia="Calibri" w:hAnsi="Arial" w:cs="Arial"/>
          <w:b/>
          <w:sz w:val="22"/>
          <w:szCs w:val="22"/>
          <w:lang w:val="en-GB"/>
        </w:rPr>
        <w:t>8</w:t>
      </w:r>
    </w:p>
    <w:p w:rsidR="00493DAA" w:rsidRPr="00493DAA" w:rsidRDefault="00493DAA" w:rsidP="00493DAA">
      <w:pPr>
        <w:spacing w:after="200" w:line="276" w:lineRule="auto"/>
        <w:ind w:left="426"/>
        <w:contextualSpacing/>
        <w:rPr>
          <w:rFonts w:ascii="Arial" w:eastAsia="Calibri" w:hAnsi="Arial" w:cs="Arial"/>
          <w:sz w:val="22"/>
          <w:szCs w:val="22"/>
          <w:lang w:val="en-GB"/>
        </w:rPr>
      </w:pPr>
    </w:p>
    <w:p w:rsidR="00493DAA" w:rsidRPr="00493DAA" w:rsidRDefault="00493DAA" w:rsidP="00493DAA">
      <w:pPr>
        <w:spacing w:after="200" w:line="276" w:lineRule="auto"/>
        <w:ind w:left="426"/>
        <w:contextualSpacing/>
        <w:rPr>
          <w:rFonts w:ascii="Arial" w:eastAsia="Calibri" w:hAnsi="Arial" w:cs="Arial"/>
          <w:sz w:val="22"/>
          <w:szCs w:val="22"/>
          <w:lang w:val="en-GB"/>
        </w:rPr>
      </w:pPr>
    </w:p>
    <w:p w:rsidR="00493DAA" w:rsidRPr="00493DAA" w:rsidRDefault="00493DAA" w:rsidP="00493DAA">
      <w:pPr>
        <w:spacing w:after="200" w:line="276" w:lineRule="auto"/>
        <w:ind w:left="426"/>
        <w:contextualSpacing/>
        <w:rPr>
          <w:rFonts w:ascii="Arial" w:eastAsia="Calibri" w:hAnsi="Arial" w:cs="Arial"/>
          <w:sz w:val="22"/>
          <w:szCs w:val="22"/>
          <w:lang w:val="en-GB"/>
        </w:rPr>
      </w:pPr>
    </w:p>
    <w:p w:rsidR="00493DAA" w:rsidRPr="00493DAA" w:rsidRDefault="00493DAA" w:rsidP="00493DAA">
      <w:pPr>
        <w:spacing w:after="200" w:line="276" w:lineRule="auto"/>
        <w:ind w:left="426"/>
        <w:contextualSpacing/>
        <w:rPr>
          <w:rFonts w:ascii="Arial" w:eastAsia="Calibri" w:hAnsi="Arial" w:cs="Arial"/>
          <w:sz w:val="22"/>
          <w:szCs w:val="22"/>
          <w:lang w:val="en-GB"/>
        </w:rPr>
      </w:pPr>
    </w:p>
    <w:p w:rsidR="00493DAA" w:rsidRPr="00493DAA" w:rsidRDefault="00493DAA" w:rsidP="00493DAA">
      <w:pPr>
        <w:spacing w:after="200" w:line="276" w:lineRule="auto"/>
        <w:ind w:left="426"/>
        <w:contextualSpacing/>
        <w:rPr>
          <w:rFonts w:ascii="Arial" w:eastAsia="Calibri" w:hAnsi="Arial" w:cs="Arial"/>
          <w:b/>
          <w:sz w:val="22"/>
          <w:szCs w:val="22"/>
          <w:lang w:val="en-GB"/>
        </w:rPr>
      </w:pPr>
      <w:r w:rsidRPr="00493DAA">
        <w:rPr>
          <w:rFonts w:ascii="Arial" w:eastAsia="Calibri" w:hAnsi="Arial" w:cs="Arial"/>
          <w:b/>
          <w:sz w:val="22"/>
          <w:szCs w:val="22"/>
          <w:lang w:val="en-GB"/>
        </w:rPr>
        <w:t xml:space="preserve">The TG-C </w:t>
      </w:r>
      <w:r w:rsidR="003D73AC">
        <w:rPr>
          <w:rFonts w:ascii="Arial" w:eastAsia="Calibri" w:hAnsi="Arial" w:cs="Arial"/>
          <w:b/>
          <w:sz w:val="22"/>
          <w:szCs w:val="22"/>
          <w:lang w:val="en-GB"/>
        </w:rPr>
        <w:t>21 meeting</w:t>
      </w:r>
      <w:r w:rsidRPr="00493DAA">
        <w:rPr>
          <w:rFonts w:ascii="Arial" w:eastAsia="Calibri" w:hAnsi="Arial" w:cs="Arial"/>
          <w:b/>
          <w:sz w:val="22"/>
          <w:szCs w:val="22"/>
          <w:lang w:val="en-GB"/>
        </w:rPr>
        <w:t xml:space="preserve"> w</w:t>
      </w:r>
      <w:r w:rsidR="003D73AC">
        <w:rPr>
          <w:rFonts w:ascii="Arial" w:eastAsia="Calibri" w:hAnsi="Arial" w:cs="Arial"/>
          <w:b/>
          <w:sz w:val="22"/>
          <w:szCs w:val="22"/>
          <w:lang w:val="en-GB"/>
        </w:rPr>
        <w:t>as</w:t>
      </w:r>
      <w:r w:rsidRPr="00493DAA">
        <w:rPr>
          <w:rFonts w:ascii="Arial" w:eastAsia="Calibri" w:hAnsi="Arial" w:cs="Arial"/>
          <w:b/>
          <w:sz w:val="22"/>
          <w:szCs w:val="22"/>
          <w:lang w:val="en-GB"/>
        </w:rPr>
        <w:t xml:space="preserve"> held </w:t>
      </w:r>
      <w:r w:rsidR="003D73AC">
        <w:rPr>
          <w:rFonts w:ascii="Arial" w:eastAsia="Calibri" w:hAnsi="Arial" w:cs="Arial"/>
          <w:b/>
          <w:sz w:val="22"/>
          <w:szCs w:val="22"/>
          <w:lang w:val="en-GB"/>
        </w:rPr>
        <w:t xml:space="preserve">on 21 March 2018 </w:t>
      </w:r>
      <w:r w:rsidRPr="00493DAA">
        <w:rPr>
          <w:rFonts w:ascii="Arial" w:eastAsia="Calibri" w:hAnsi="Arial" w:cs="Arial"/>
          <w:b/>
          <w:sz w:val="22"/>
          <w:szCs w:val="22"/>
          <w:lang w:val="en-GB"/>
        </w:rPr>
        <w:t xml:space="preserve">under the </w:t>
      </w:r>
      <w:r w:rsidR="003D73AC">
        <w:rPr>
          <w:rFonts w:ascii="Arial" w:eastAsia="Calibri" w:hAnsi="Arial" w:cs="Arial"/>
          <w:b/>
          <w:sz w:val="22"/>
          <w:szCs w:val="22"/>
          <w:lang w:val="en-GB"/>
        </w:rPr>
        <w:t>interim-</w:t>
      </w:r>
      <w:r w:rsidRPr="00493DAA">
        <w:rPr>
          <w:rFonts w:ascii="Arial" w:eastAsia="Calibri" w:hAnsi="Arial" w:cs="Arial"/>
          <w:b/>
          <w:sz w:val="22"/>
          <w:szCs w:val="22"/>
          <w:lang w:val="en-GB"/>
        </w:rPr>
        <w:t xml:space="preserve">chairmanship of Mr </w:t>
      </w:r>
      <w:r w:rsidR="003D73AC">
        <w:rPr>
          <w:rFonts w:ascii="Arial" w:eastAsia="Calibri" w:hAnsi="Arial" w:cs="Arial"/>
          <w:b/>
          <w:sz w:val="22"/>
          <w:szCs w:val="22"/>
          <w:lang w:val="en-GB"/>
        </w:rPr>
        <w:t>Robert Zijlstra</w:t>
      </w:r>
      <w:r w:rsidRPr="00493DAA">
        <w:rPr>
          <w:rFonts w:ascii="Arial" w:eastAsia="Calibri" w:hAnsi="Arial" w:cs="Arial"/>
          <w:b/>
          <w:sz w:val="22"/>
          <w:szCs w:val="22"/>
          <w:lang w:val="en-GB"/>
        </w:rPr>
        <w:t xml:space="preserve"> (Ministry of Infrastructure and Environment, NL).</w:t>
      </w:r>
    </w:p>
    <w:p w:rsidR="00493DAA" w:rsidRPr="00493DAA" w:rsidRDefault="00493DAA" w:rsidP="00493DAA">
      <w:pPr>
        <w:spacing w:after="200" w:line="276" w:lineRule="auto"/>
        <w:ind w:left="426"/>
        <w:contextualSpacing/>
        <w:rPr>
          <w:rFonts w:ascii="Arial" w:eastAsia="Calibri" w:hAnsi="Arial" w:cs="Arial"/>
          <w:b/>
          <w:sz w:val="22"/>
          <w:szCs w:val="22"/>
          <w:lang w:val="en-GB"/>
        </w:rPr>
      </w:pPr>
    </w:p>
    <w:p w:rsidR="00493DAA" w:rsidRDefault="00493DAA" w:rsidP="00493DAA">
      <w:pPr>
        <w:spacing w:after="200" w:line="276" w:lineRule="auto"/>
        <w:ind w:left="426"/>
        <w:contextualSpacing/>
        <w:rPr>
          <w:rFonts w:ascii="Arial" w:eastAsia="Calibri" w:hAnsi="Arial" w:cs="Arial"/>
          <w:b/>
          <w:sz w:val="22"/>
          <w:szCs w:val="22"/>
          <w:lang w:val="en-GB"/>
        </w:rPr>
      </w:pPr>
      <w:r w:rsidRPr="00493DAA">
        <w:rPr>
          <w:rFonts w:ascii="Arial" w:eastAsia="Calibri" w:hAnsi="Arial" w:cs="Arial"/>
          <w:b/>
          <w:sz w:val="22"/>
          <w:szCs w:val="22"/>
          <w:lang w:val="en-GB"/>
        </w:rPr>
        <w:t>The following issues were addressed:</w:t>
      </w:r>
    </w:p>
    <w:p w:rsidR="005679A2" w:rsidRPr="00493DAA" w:rsidRDefault="005679A2" w:rsidP="00493DAA">
      <w:pPr>
        <w:spacing w:after="200" w:line="276" w:lineRule="auto"/>
        <w:ind w:left="426"/>
        <w:contextualSpacing/>
        <w:rPr>
          <w:rFonts w:ascii="Arial" w:eastAsia="Calibri" w:hAnsi="Arial" w:cs="Arial"/>
          <w:b/>
          <w:sz w:val="22"/>
          <w:szCs w:val="22"/>
          <w:lang w:val="en-GB"/>
        </w:rPr>
      </w:pPr>
    </w:p>
    <w:p w:rsidR="00493DAA" w:rsidRPr="00493DAA" w:rsidRDefault="003D73AC" w:rsidP="004A5C0F">
      <w:pPr>
        <w:keepNext/>
        <w:numPr>
          <w:ilvl w:val="0"/>
          <w:numId w:val="3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outlineLvl w:val="0"/>
        <w:rPr>
          <w:rFonts w:ascii="Arial" w:eastAsia="Calibri" w:hAnsi="Arial" w:cs="Arial"/>
          <w:b/>
          <w:color w:val="000000"/>
          <w:sz w:val="22"/>
          <w:szCs w:val="20"/>
          <w:lang w:val="en-GB" w:eastAsia="de-DE"/>
        </w:rPr>
      </w:pPr>
      <w:proofErr w:type="spellStart"/>
      <w:r>
        <w:rPr>
          <w:rFonts w:ascii="Arial" w:eastAsia="Calibri" w:hAnsi="Arial" w:cs="Arial"/>
          <w:b/>
          <w:color w:val="000000"/>
          <w:sz w:val="22"/>
          <w:szCs w:val="20"/>
          <w:lang w:val="en-GB" w:eastAsia="de-DE"/>
        </w:rPr>
        <w:t>Interreg</w:t>
      </w:r>
      <w:proofErr w:type="spellEnd"/>
      <w:r>
        <w:rPr>
          <w:rFonts w:ascii="Arial" w:eastAsia="Calibri" w:hAnsi="Arial" w:cs="Arial"/>
          <w:b/>
          <w:color w:val="000000"/>
          <w:sz w:val="22"/>
          <w:szCs w:val="20"/>
          <w:lang w:val="en-GB" w:eastAsia="de-DE"/>
        </w:rPr>
        <w:t xml:space="preserve"> Building with Nature climate change adaptation conference</w:t>
      </w:r>
    </w:p>
    <w:p w:rsidR="001F1ACB" w:rsidRDefault="001F1ACB" w:rsidP="00D2621E">
      <w:pPr>
        <w:pStyle w:val="Listenabsatz"/>
        <w:numPr>
          <w:ilvl w:val="0"/>
          <w:numId w:val="0"/>
        </w:numPr>
        <w:ind w:left="426"/>
        <w:rPr>
          <w:lang w:val="en-GB"/>
        </w:rPr>
      </w:pPr>
      <w:r>
        <w:rPr>
          <w:lang w:val="en-GB"/>
        </w:rPr>
        <w:t>T</w:t>
      </w:r>
      <w:r w:rsidRPr="001F1ACB">
        <w:rPr>
          <w:lang w:val="en-GB"/>
        </w:rPr>
        <w:t xml:space="preserve">he </w:t>
      </w:r>
      <w:hyperlink r:id="rId10" w:history="1">
        <w:proofErr w:type="spellStart"/>
        <w:r w:rsidRPr="001F1ACB">
          <w:rPr>
            <w:rStyle w:val="Hyperlink"/>
            <w:lang w:val="en-GB"/>
          </w:rPr>
          <w:t>mid term</w:t>
        </w:r>
        <w:proofErr w:type="spellEnd"/>
        <w:r w:rsidRPr="001F1ACB">
          <w:rPr>
            <w:rStyle w:val="Hyperlink"/>
            <w:lang w:val="en-GB"/>
          </w:rPr>
          <w:t xml:space="preserve"> event</w:t>
        </w:r>
      </w:hyperlink>
      <w:r w:rsidRPr="001F1ACB">
        <w:rPr>
          <w:lang w:val="en-GB"/>
        </w:rPr>
        <w:t xml:space="preserve"> of the two EU </w:t>
      </w:r>
      <w:proofErr w:type="spellStart"/>
      <w:r w:rsidRPr="001F1ACB">
        <w:rPr>
          <w:lang w:val="en-GB"/>
        </w:rPr>
        <w:t>Interreg</w:t>
      </w:r>
      <w:proofErr w:type="spellEnd"/>
      <w:r w:rsidRPr="001F1ACB">
        <w:rPr>
          <w:lang w:val="en-GB"/>
        </w:rPr>
        <w:t xml:space="preserve"> VB North Sea region projects Building with Nature and FAIR with the conference 'Climate change adaptation in the North Sea region' took place in </w:t>
      </w:r>
      <w:proofErr w:type="spellStart"/>
      <w:r w:rsidRPr="001F1ACB">
        <w:rPr>
          <w:lang w:val="en-GB"/>
        </w:rPr>
        <w:t>Schoorl</w:t>
      </w:r>
      <w:proofErr w:type="spellEnd"/>
      <w:r w:rsidRPr="001F1ACB">
        <w:rPr>
          <w:lang w:val="en-GB"/>
        </w:rPr>
        <w:t>, the Netherlands on 8 March</w:t>
      </w:r>
      <w:r>
        <w:rPr>
          <w:lang w:val="en-GB"/>
        </w:rPr>
        <w:t xml:space="preserve"> 2018</w:t>
      </w:r>
      <w:r w:rsidRPr="001F1ACB">
        <w:rPr>
          <w:lang w:val="en-GB"/>
        </w:rPr>
        <w:t xml:space="preserve">. </w:t>
      </w:r>
    </w:p>
    <w:p w:rsidR="00493DAA" w:rsidRDefault="001F1ACB" w:rsidP="00D2621E">
      <w:pPr>
        <w:pStyle w:val="Listenabsatz"/>
        <w:numPr>
          <w:ilvl w:val="0"/>
          <w:numId w:val="0"/>
        </w:numPr>
        <w:ind w:left="426"/>
        <w:rPr>
          <w:lang w:val="en-GB"/>
        </w:rPr>
      </w:pPr>
      <w:r w:rsidRPr="001F1ACB">
        <w:rPr>
          <w:lang w:val="en-GB"/>
        </w:rPr>
        <w:t>Ms Busch presented TG-C´s trilateral climate change adaptation strategy during the conference</w:t>
      </w:r>
      <w:r>
        <w:rPr>
          <w:lang w:val="en-GB"/>
        </w:rPr>
        <w:t>.</w:t>
      </w:r>
    </w:p>
    <w:p w:rsidR="003D73AC" w:rsidRDefault="003D73AC" w:rsidP="003D73AC">
      <w:pPr>
        <w:pStyle w:val="Listenabsatz"/>
        <w:numPr>
          <w:ilvl w:val="0"/>
          <w:numId w:val="0"/>
        </w:numPr>
        <w:ind w:left="426"/>
        <w:rPr>
          <w:lang w:val="en-GB"/>
        </w:rPr>
      </w:pPr>
    </w:p>
    <w:p w:rsidR="003D73AC" w:rsidRPr="003D73AC" w:rsidRDefault="003D73AC" w:rsidP="003D73AC">
      <w:pPr>
        <w:pStyle w:val="Listenabsatz"/>
        <w:numPr>
          <w:ilvl w:val="0"/>
          <w:numId w:val="0"/>
        </w:numPr>
        <w:ind w:left="426"/>
        <w:rPr>
          <w:lang w:val="en-GB"/>
        </w:rPr>
      </w:pPr>
      <w:r w:rsidRPr="003D73AC">
        <w:rPr>
          <w:lang w:val="en-GB"/>
        </w:rPr>
        <w:t xml:space="preserve">The </w:t>
      </w:r>
      <w:r>
        <w:rPr>
          <w:lang w:val="en-GB"/>
        </w:rPr>
        <w:t xml:space="preserve">WSB is invited to </w:t>
      </w:r>
      <w:r w:rsidRPr="003D73AC">
        <w:rPr>
          <w:b/>
          <w:lang w:val="en-GB"/>
        </w:rPr>
        <w:t>note</w:t>
      </w:r>
      <w:r>
        <w:rPr>
          <w:lang w:val="en-GB"/>
        </w:rPr>
        <w:t xml:space="preserve"> the information.</w:t>
      </w:r>
    </w:p>
    <w:p w:rsidR="00493DAA" w:rsidRDefault="003D73AC" w:rsidP="004A5C0F">
      <w:pPr>
        <w:keepNext/>
        <w:numPr>
          <w:ilvl w:val="0"/>
          <w:numId w:val="3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outlineLvl w:val="0"/>
        <w:rPr>
          <w:rFonts w:ascii="Arial" w:eastAsia="Calibri" w:hAnsi="Arial" w:cs="Arial"/>
          <w:b/>
          <w:color w:val="000000"/>
          <w:sz w:val="22"/>
          <w:szCs w:val="20"/>
          <w:lang w:val="en-GB" w:eastAsia="de-DE"/>
        </w:rPr>
      </w:pPr>
      <w:r>
        <w:rPr>
          <w:rFonts w:ascii="Arial" w:eastAsia="Calibri" w:hAnsi="Arial" w:cs="Arial"/>
          <w:b/>
          <w:color w:val="000000"/>
          <w:sz w:val="22"/>
          <w:szCs w:val="20"/>
          <w:lang w:val="en-GB" w:eastAsia="de-DE"/>
        </w:rPr>
        <w:t>Trilateral Governmental Conference</w:t>
      </w:r>
      <w:r w:rsidR="00670C7F">
        <w:rPr>
          <w:rFonts w:ascii="Arial" w:eastAsia="Calibri" w:hAnsi="Arial" w:cs="Arial"/>
          <w:b/>
          <w:color w:val="000000"/>
          <w:sz w:val="22"/>
          <w:szCs w:val="20"/>
          <w:lang w:val="en-GB" w:eastAsia="de-DE"/>
        </w:rPr>
        <w:t xml:space="preserve"> – side event</w:t>
      </w:r>
    </w:p>
    <w:p w:rsidR="00D2621E" w:rsidRPr="00C51AD8" w:rsidRDefault="00493DAA" w:rsidP="006E3320">
      <w:pPr>
        <w:pStyle w:val="Listenabsatz"/>
        <w:numPr>
          <w:ilvl w:val="0"/>
          <w:numId w:val="0"/>
        </w:numPr>
        <w:ind w:left="426"/>
        <w:rPr>
          <w:lang w:val="en-GB" w:eastAsia="de-DE"/>
        </w:rPr>
      </w:pPr>
      <w:r w:rsidRPr="002D19B4">
        <w:rPr>
          <w:lang w:val="en-GB" w:eastAsia="de-DE"/>
        </w:rPr>
        <w:t>The</w:t>
      </w:r>
      <w:r w:rsidR="003D73AC">
        <w:rPr>
          <w:lang w:val="en-GB" w:eastAsia="de-DE"/>
        </w:rPr>
        <w:t xml:space="preserve"> WSB at WSB 22 had instructed TG-C to plan and organise a side event at the Trilateral Governmental Conference (TGC).</w:t>
      </w:r>
      <w:r w:rsidR="004A5C0F">
        <w:rPr>
          <w:lang w:val="en-GB" w:eastAsia="de-DE"/>
        </w:rPr>
        <w:t xml:space="preserve"> TG-C agreed on </w:t>
      </w:r>
      <w:r w:rsidR="00A43B2A">
        <w:rPr>
          <w:lang w:val="en-GB" w:eastAsia="de-DE"/>
        </w:rPr>
        <w:t>a</w:t>
      </w:r>
      <w:r w:rsidR="004A5C0F">
        <w:rPr>
          <w:lang w:val="en-GB" w:eastAsia="de-DE"/>
        </w:rPr>
        <w:t xml:space="preserve"> side event concept</w:t>
      </w:r>
      <w:r w:rsidR="006E3320">
        <w:rPr>
          <w:lang w:val="en-GB" w:eastAsia="de-DE"/>
        </w:rPr>
        <w:t xml:space="preserve"> (Annex 1), as well as a</w:t>
      </w:r>
      <w:r w:rsidR="004A5C0F">
        <w:rPr>
          <w:lang w:val="en-GB" w:eastAsia="de-DE"/>
        </w:rPr>
        <w:t xml:space="preserve"> roll-up design</w:t>
      </w:r>
      <w:r w:rsidR="006E3320">
        <w:rPr>
          <w:lang w:val="en-GB" w:eastAsia="de-DE"/>
        </w:rPr>
        <w:t xml:space="preserve"> (Annex 2)</w:t>
      </w:r>
      <w:r w:rsidR="004A5C0F">
        <w:rPr>
          <w:lang w:val="en-GB" w:eastAsia="de-DE"/>
        </w:rPr>
        <w:t xml:space="preserve"> and a leaflet</w:t>
      </w:r>
      <w:r w:rsidR="006E3320">
        <w:rPr>
          <w:lang w:val="en-GB" w:eastAsia="de-DE"/>
        </w:rPr>
        <w:t>.</w:t>
      </w:r>
    </w:p>
    <w:p w:rsidR="00493DAA" w:rsidRDefault="00493DAA" w:rsidP="003D73AC">
      <w:pPr>
        <w:pStyle w:val="Listenabsatz"/>
        <w:numPr>
          <w:ilvl w:val="0"/>
          <w:numId w:val="0"/>
        </w:numPr>
        <w:ind w:left="426"/>
        <w:rPr>
          <w:lang w:val="en-GB"/>
        </w:rPr>
      </w:pPr>
    </w:p>
    <w:p w:rsidR="003D73AC" w:rsidRPr="002D19B4" w:rsidRDefault="003D73AC" w:rsidP="003D73AC">
      <w:pPr>
        <w:pStyle w:val="Listenabsatz"/>
        <w:numPr>
          <w:ilvl w:val="0"/>
          <w:numId w:val="0"/>
        </w:numPr>
        <w:ind w:left="426"/>
        <w:rPr>
          <w:lang w:val="en-GB"/>
        </w:rPr>
      </w:pPr>
      <w:r>
        <w:rPr>
          <w:lang w:val="en-GB"/>
        </w:rPr>
        <w:t xml:space="preserve">The WSB is invited to </w:t>
      </w:r>
      <w:r w:rsidR="00D379D3">
        <w:rPr>
          <w:b/>
          <w:lang w:val="en-GB"/>
        </w:rPr>
        <w:t>note</w:t>
      </w:r>
      <w:r>
        <w:rPr>
          <w:lang w:val="en-GB"/>
        </w:rPr>
        <w:t xml:space="preserve"> the </w:t>
      </w:r>
      <w:r w:rsidR="00D2621E">
        <w:rPr>
          <w:lang w:val="en-GB"/>
        </w:rPr>
        <w:t>approach including the presented material</w:t>
      </w:r>
      <w:r>
        <w:rPr>
          <w:lang w:val="en-GB"/>
        </w:rPr>
        <w:t>.</w:t>
      </w:r>
    </w:p>
    <w:p w:rsidR="00D2621E" w:rsidRPr="00D2621E" w:rsidRDefault="00D2621E" w:rsidP="004A5C0F">
      <w:pPr>
        <w:keepNext/>
        <w:numPr>
          <w:ilvl w:val="0"/>
          <w:numId w:val="3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outlineLvl w:val="0"/>
        <w:rPr>
          <w:rFonts w:ascii="Arial" w:eastAsia="Calibri" w:hAnsi="Arial" w:cs="Arial"/>
          <w:b/>
          <w:color w:val="000000"/>
          <w:sz w:val="22"/>
          <w:szCs w:val="20"/>
          <w:lang w:val="en-GB" w:eastAsia="de-DE"/>
        </w:rPr>
      </w:pPr>
      <w:r>
        <w:rPr>
          <w:rFonts w:ascii="Arial" w:eastAsia="Calibri" w:hAnsi="Arial" w:cs="Arial"/>
          <w:b/>
          <w:color w:val="000000"/>
          <w:sz w:val="22"/>
          <w:szCs w:val="20"/>
          <w:lang w:val="en-GB" w:eastAsia="de-DE"/>
        </w:rPr>
        <w:t xml:space="preserve">TG-C future planning </w:t>
      </w:r>
    </w:p>
    <w:p w:rsidR="00D379D3" w:rsidRDefault="004A5C0F" w:rsidP="002D19B4">
      <w:pPr>
        <w:pStyle w:val="Listenabsatz"/>
        <w:numPr>
          <w:ilvl w:val="0"/>
          <w:numId w:val="0"/>
        </w:numPr>
        <w:ind w:left="426"/>
        <w:rPr>
          <w:lang w:val="en-GB" w:eastAsia="de-DE"/>
        </w:rPr>
      </w:pPr>
      <w:r>
        <w:rPr>
          <w:lang w:val="en-GB" w:eastAsia="de-DE"/>
        </w:rPr>
        <w:t xml:space="preserve">TG-C agreed to proceed under the assumption that the group will be appointed for the upcoming period under German presidency. </w:t>
      </w:r>
    </w:p>
    <w:p w:rsidR="008D5BC5" w:rsidRDefault="004A5C0F" w:rsidP="002D19B4">
      <w:pPr>
        <w:pStyle w:val="Listenabsatz"/>
        <w:numPr>
          <w:ilvl w:val="0"/>
          <w:numId w:val="0"/>
        </w:numPr>
        <w:ind w:left="426"/>
        <w:rPr>
          <w:lang w:val="en-GB" w:eastAsia="de-DE"/>
        </w:rPr>
      </w:pPr>
      <w:r>
        <w:rPr>
          <w:lang w:val="en-GB" w:eastAsia="de-DE"/>
        </w:rPr>
        <w:t>To</w:t>
      </w:r>
      <w:r w:rsidRPr="004A5C0F">
        <w:rPr>
          <w:lang w:val="en-GB" w:eastAsia="de-DE"/>
        </w:rPr>
        <w:t xml:space="preserve"> continue their work as soon as possible</w:t>
      </w:r>
      <w:r w:rsidR="002F4849">
        <w:rPr>
          <w:lang w:val="en-GB" w:eastAsia="de-DE"/>
        </w:rPr>
        <w:t>, t</w:t>
      </w:r>
      <w:r w:rsidR="002F4849" w:rsidRPr="004A5C0F">
        <w:rPr>
          <w:lang w:val="en-GB" w:eastAsia="de-DE"/>
        </w:rPr>
        <w:t xml:space="preserve">he group </w:t>
      </w:r>
      <w:r w:rsidR="002F4849">
        <w:rPr>
          <w:lang w:val="en-GB" w:eastAsia="de-DE"/>
        </w:rPr>
        <w:t>offered to provide recommendations and support for drafting future</w:t>
      </w:r>
      <w:r w:rsidR="00A43B2A">
        <w:rPr>
          <w:lang w:val="en-GB" w:eastAsia="de-DE"/>
        </w:rPr>
        <w:t xml:space="preserve"> Terms of References (</w:t>
      </w:r>
      <w:proofErr w:type="spellStart"/>
      <w:r w:rsidR="00A43B2A">
        <w:rPr>
          <w:lang w:val="en-GB" w:eastAsia="de-DE"/>
        </w:rPr>
        <w:t>ToR</w:t>
      </w:r>
      <w:proofErr w:type="spellEnd"/>
      <w:r w:rsidR="00A43B2A">
        <w:rPr>
          <w:lang w:val="en-GB" w:eastAsia="de-DE"/>
        </w:rPr>
        <w:t>)</w:t>
      </w:r>
      <w:r w:rsidR="002F4849">
        <w:rPr>
          <w:lang w:val="en-GB" w:eastAsia="de-DE"/>
        </w:rPr>
        <w:t>.</w:t>
      </w:r>
    </w:p>
    <w:p w:rsidR="004A5C0F" w:rsidRDefault="004A5C0F" w:rsidP="002D19B4">
      <w:pPr>
        <w:pStyle w:val="Listenabsatz"/>
        <w:numPr>
          <w:ilvl w:val="0"/>
          <w:numId w:val="0"/>
        </w:numPr>
        <w:ind w:left="426"/>
        <w:rPr>
          <w:lang w:val="en-GB" w:eastAsia="de-DE"/>
        </w:rPr>
      </w:pPr>
    </w:p>
    <w:p w:rsidR="006E3320" w:rsidRDefault="008D5BC5" w:rsidP="002D19B4">
      <w:pPr>
        <w:pStyle w:val="Listenabsatz"/>
        <w:numPr>
          <w:ilvl w:val="0"/>
          <w:numId w:val="0"/>
        </w:numPr>
        <w:ind w:left="426"/>
        <w:rPr>
          <w:lang w:val="en-GB" w:eastAsia="de-DE"/>
        </w:rPr>
      </w:pPr>
      <w:r>
        <w:rPr>
          <w:lang w:val="en-GB" w:eastAsia="de-DE"/>
        </w:rPr>
        <w:t>The WSB is invited to</w:t>
      </w:r>
      <w:r w:rsidR="00D379D3">
        <w:rPr>
          <w:lang w:val="en-GB" w:eastAsia="de-DE"/>
        </w:rPr>
        <w:t xml:space="preserve"> </w:t>
      </w:r>
      <w:r w:rsidR="00D379D3">
        <w:rPr>
          <w:b/>
          <w:lang w:val="en-GB" w:eastAsia="de-DE"/>
        </w:rPr>
        <w:t>provide</w:t>
      </w:r>
      <w:r w:rsidR="00D379D3" w:rsidRPr="00D379D3">
        <w:rPr>
          <w:b/>
          <w:lang w:val="en-GB" w:eastAsia="de-DE"/>
        </w:rPr>
        <w:t xml:space="preserve"> guidance</w:t>
      </w:r>
      <w:r w:rsidR="00D379D3">
        <w:rPr>
          <w:lang w:val="en-GB" w:eastAsia="de-DE"/>
        </w:rPr>
        <w:t xml:space="preserve"> on </w:t>
      </w:r>
      <w:r w:rsidR="006E3320">
        <w:rPr>
          <w:lang w:val="en-GB" w:eastAsia="de-DE"/>
        </w:rPr>
        <w:t xml:space="preserve">the </w:t>
      </w:r>
      <w:r w:rsidR="00A43B2A">
        <w:rPr>
          <w:lang w:val="en-GB" w:eastAsia="de-DE"/>
        </w:rPr>
        <w:t>favoured proceeding for formulation of Terms of References</w:t>
      </w:r>
      <w:r>
        <w:rPr>
          <w:lang w:val="en-GB" w:eastAsia="de-DE"/>
        </w:rPr>
        <w:t>.</w:t>
      </w:r>
    </w:p>
    <w:p w:rsidR="00670C7F" w:rsidRDefault="00670C7F" w:rsidP="002D19B4">
      <w:pPr>
        <w:pStyle w:val="Listenabsatz"/>
        <w:numPr>
          <w:ilvl w:val="0"/>
          <w:numId w:val="0"/>
        </w:numPr>
        <w:ind w:left="426"/>
        <w:rPr>
          <w:lang w:val="en-GB" w:eastAsia="de-DE"/>
        </w:rPr>
      </w:pPr>
      <w:r>
        <w:rPr>
          <w:lang w:val="en-GB" w:eastAsia="de-DE"/>
        </w:rPr>
        <w:br w:type="page"/>
      </w:r>
    </w:p>
    <w:p w:rsidR="008D5BC5" w:rsidRDefault="00670C7F" w:rsidP="002D19B4">
      <w:pPr>
        <w:pStyle w:val="Listenabsatz"/>
        <w:numPr>
          <w:ilvl w:val="0"/>
          <w:numId w:val="0"/>
        </w:numPr>
        <w:ind w:left="426"/>
        <w:rPr>
          <w:b/>
          <w:lang w:val="en-GB" w:eastAsia="de-DE"/>
        </w:rPr>
      </w:pPr>
      <w:r w:rsidRPr="00670C7F">
        <w:rPr>
          <w:b/>
          <w:lang w:val="en-GB" w:eastAsia="de-DE"/>
        </w:rPr>
        <w:lastRenderedPageBreak/>
        <w:t>Annex 1: Trilateral Governmental Conference – side event</w:t>
      </w:r>
      <w:r>
        <w:rPr>
          <w:b/>
          <w:lang w:val="en-GB" w:eastAsia="de-DE"/>
        </w:rPr>
        <w:t xml:space="preserve"> concept</w:t>
      </w:r>
    </w:p>
    <w:p w:rsidR="004A5C0F" w:rsidRPr="004A5C0F" w:rsidRDefault="004A5C0F" w:rsidP="004A5C0F">
      <w:pPr>
        <w:spacing w:after="200" w:line="276" w:lineRule="auto"/>
        <w:ind w:left="426"/>
        <w:rPr>
          <w:rFonts w:ascii="Arial" w:eastAsia="Calibri" w:hAnsi="Arial"/>
          <w:sz w:val="28"/>
          <w:szCs w:val="28"/>
          <w:lang w:val="en-GB"/>
        </w:rPr>
      </w:pPr>
      <w:r w:rsidRPr="004A5C0F">
        <w:rPr>
          <w:rFonts w:ascii="Arial" w:eastAsia="Calibri" w:hAnsi="Arial"/>
          <w:b/>
          <w:sz w:val="28"/>
          <w:szCs w:val="28"/>
          <w:lang w:val="en-GB"/>
        </w:rPr>
        <w:t xml:space="preserve">Side event concept note </w:t>
      </w:r>
    </w:p>
    <w:p w:rsidR="004A5C0F" w:rsidRPr="004A5C0F" w:rsidRDefault="004A5C0F" w:rsidP="004A5C0F">
      <w:pPr>
        <w:spacing w:after="200" w:line="276" w:lineRule="auto"/>
        <w:ind w:left="426"/>
        <w:rPr>
          <w:rFonts w:ascii="Arial" w:eastAsia="Calibri" w:hAnsi="Arial"/>
          <w:b/>
          <w:sz w:val="28"/>
          <w:szCs w:val="28"/>
          <w:lang w:val="en-GB"/>
        </w:rPr>
      </w:pPr>
      <w:r w:rsidRPr="004A5C0F">
        <w:rPr>
          <w:rFonts w:ascii="Arial" w:eastAsia="Calibri" w:hAnsi="Arial"/>
          <w:b/>
          <w:sz w:val="28"/>
          <w:szCs w:val="28"/>
          <w:lang w:val="en-GB"/>
        </w:rPr>
        <w:t>2018 Trilateral Governmental Conference Leeuwarden</w:t>
      </w:r>
    </w:p>
    <w:p w:rsidR="007136B3" w:rsidRDefault="004A5C0F" w:rsidP="004A5C0F">
      <w:pPr>
        <w:spacing w:after="200" w:line="276" w:lineRule="auto"/>
        <w:ind w:left="426"/>
        <w:rPr>
          <w:rFonts w:ascii="Arial" w:eastAsia="Calibri" w:hAnsi="Arial"/>
          <w:sz w:val="22"/>
          <w:szCs w:val="22"/>
          <w:lang w:val="en-GB"/>
        </w:rPr>
      </w:pPr>
      <w:r w:rsidRPr="004A5C0F">
        <w:rPr>
          <w:rFonts w:ascii="Arial" w:eastAsia="Calibri" w:hAnsi="Arial"/>
          <w:sz w:val="22"/>
          <w:szCs w:val="22"/>
          <w:lang w:val="en-GB"/>
        </w:rPr>
        <w:t xml:space="preserve">Presented by the </w:t>
      </w:r>
      <w:proofErr w:type="spellStart"/>
      <w:r w:rsidRPr="004A5C0F">
        <w:rPr>
          <w:rFonts w:ascii="Arial" w:eastAsia="Calibri" w:hAnsi="Arial"/>
          <w:sz w:val="22"/>
          <w:szCs w:val="22"/>
          <w:lang w:val="en-GB"/>
        </w:rPr>
        <w:t>Wadden</w:t>
      </w:r>
      <w:proofErr w:type="spellEnd"/>
      <w:r w:rsidRPr="004A5C0F">
        <w:rPr>
          <w:rFonts w:ascii="Arial" w:eastAsia="Calibri" w:hAnsi="Arial"/>
          <w:sz w:val="22"/>
          <w:szCs w:val="22"/>
          <w:lang w:val="en-GB"/>
        </w:rPr>
        <w:t xml:space="preserve"> Sea Board´s Task Group Climate (TG-C) </w:t>
      </w:r>
    </w:p>
    <w:p w:rsidR="004A5C0F" w:rsidRPr="004A5C0F" w:rsidRDefault="004A5C0F" w:rsidP="004A5C0F">
      <w:pPr>
        <w:spacing w:after="200" w:line="276" w:lineRule="auto"/>
        <w:ind w:left="426"/>
        <w:rPr>
          <w:rFonts w:ascii="Arial" w:eastAsia="Calibri" w:hAnsi="Arial"/>
          <w:sz w:val="22"/>
          <w:szCs w:val="22"/>
          <w:lang w:val="en-GB"/>
        </w:rPr>
      </w:pPr>
      <w:r w:rsidRPr="004A5C0F">
        <w:rPr>
          <w:rFonts w:ascii="Arial" w:eastAsia="Calibri" w:hAnsi="Arial"/>
          <w:sz w:val="22"/>
          <w:szCs w:val="22"/>
          <w:lang w:val="en-GB"/>
        </w:rPr>
        <w:t>(</w:t>
      </w:r>
      <w:proofErr w:type="gramStart"/>
      <w:r w:rsidRPr="004A5C0F">
        <w:rPr>
          <w:rFonts w:ascii="Arial" w:eastAsia="Calibri" w:hAnsi="Arial"/>
          <w:sz w:val="22"/>
          <w:szCs w:val="22"/>
          <w:lang w:val="en-GB"/>
        </w:rPr>
        <w:t>v0.</w:t>
      </w:r>
      <w:r w:rsidR="00A43B2A">
        <w:rPr>
          <w:rFonts w:ascii="Arial" w:eastAsia="Calibri" w:hAnsi="Arial"/>
          <w:sz w:val="22"/>
          <w:szCs w:val="22"/>
          <w:lang w:val="en-GB"/>
        </w:rPr>
        <w:t>4</w:t>
      </w:r>
      <w:proofErr w:type="gramEnd"/>
      <w:r w:rsidRPr="004A5C0F">
        <w:rPr>
          <w:rFonts w:ascii="Arial" w:eastAsia="Calibri" w:hAnsi="Arial"/>
          <w:sz w:val="22"/>
          <w:szCs w:val="22"/>
          <w:lang w:val="en-GB"/>
        </w:rPr>
        <w:t xml:space="preserve"> 2018-0</w:t>
      </w:r>
      <w:r w:rsidR="00A43B2A">
        <w:rPr>
          <w:rFonts w:ascii="Arial" w:eastAsia="Calibri" w:hAnsi="Arial"/>
          <w:sz w:val="22"/>
          <w:szCs w:val="22"/>
          <w:lang w:val="en-GB"/>
        </w:rPr>
        <w:t>3</w:t>
      </w:r>
      <w:r w:rsidRPr="004A5C0F">
        <w:rPr>
          <w:rFonts w:ascii="Arial" w:eastAsia="Calibri" w:hAnsi="Arial"/>
          <w:sz w:val="22"/>
          <w:szCs w:val="22"/>
          <w:lang w:val="en-GB"/>
        </w:rPr>
        <w:t>-22)</w:t>
      </w:r>
    </w:p>
    <w:p w:rsidR="004A5C0F" w:rsidRPr="004A5C0F" w:rsidRDefault="004A5C0F" w:rsidP="004A5C0F">
      <w:pPr>
        <w:spacing w:after="200" w:line="276" w:lineRule="auto"/>
        <w:ind w:left="426"/>
        <w:rPr>
          <w:rFonts w:ascii="Arial" w:eastAsia="Calibri" w:hAnsi="Arial"/>
          <w:b/>
          <w:sz w:val="22"/>
          <w:szCs w:val="22"/>
          <w:lang w:val="en-GB"/>
        </w:rPr>
      </w:pPr>
      <w:r w:rsidRPr="004A5C0F">
        <w:rPr>
          <w:rFonts w:ascii="Arial" w:eastAsia="Calibri" w:hAnsi="Arial"/>
          <w:b/>
          <w:sz w:val="22"/>
          <w:szCs w:val="22"/>
          <w:lang w:val="en-GB"/>
        </w:rPr>
        <w:t>Date of event:</w:t>
      </w:r>
      <w:r w:rsidR="007136B3">
        <w:rPr>
          <w:rFonts w:ascii="Arial" w:eastAsia="Calibri" w:hAnsi="Arial"/>
          <w:sz w:val="22"/>
          <w:szCs w:val="22"/>
          <w:lang w:val="en-GB"/>
        </w:rPr>
        <w:t xml:space="preserve"> Friday, 18</w:t>
      </w:r>
      <w:r w:rsidRPr="004A5C0F">
        <w:rPr>
          <w:rFonts w:ascii="Arial" w:eastAsia="Calibri" w:hAnsi="Arial"/>
          <w:sz w:val="22"/>
          <w:szCs w:val="22"/>
          <w:vertAlign w:val="superscript"/>
          <w:lang w:val="en-GB"/>
        </w:rPr>
        <w:t>th</w:t>
      </w:r>
      <w:r w:rsidR="007136B3">
        <w:rPr>
          <w:rFonts w:ascii="Arial" w:eastAsia="Calibri" w:hAnsi="Arial"/>
          <w:sz w:val="22"/>
          <w:szCs w:val="22"/>
          <w:lang w:val="en-GB"/>
        </w:rPr>
        <w:t xml:space="preserve"> </w:t>
      </w:r>
      <w:r w:rsidRPr="004A5C0F">
        <w:rPr>
          <w:rFonts w:ascii="Arial" w:eastAsia="Calibri" w:hAnsi="Arial"/>
          <w:sz w:val="22"/>
          <w:szCs w:val="22"/>
          <w:lang w:val="en-GB"/>
        </w:rPr>
        <w:t>of May 2018 (morning-to-noon)</w:t>
      </w:r>
    </w:p>
    <w:p w:rsidR="004A5C0F" w:rsidRPr="004A5C0F" w:rsidRDefault="004A5C0F" w:rsidP="004A5C0F">
      <w:pPr>
        <w:spacing w:after="200" w:line="276" w:lineRule="auto"/>
        <w:ind w:left="426"/>
        <w:rPr>
          <w:rFonts w:ascii="Arial" w:eastAsia="Calibri" w:hAnsi="Arial"/>
          <w:b/>
          <w:sz w:val="22"/>
          <w:szCs w:val="22"/>
          <w:lang w:val="en-GB"/>
        </w:rPr>
      </w:pPr>
      <w:r w:rsidRPr="004A5C0F">
        <w:rPr>
          <w:rFonts w:ascii="Arial" w:eastAsia="Calibri" w:hAnsi="Arial"/>
          <w:b/>
          <w:sz w:val="22"/>
          <w:szCs w:val="22"/>
          <w:lang w:val="en-GB"/>
        </w:rPr>
        <w:t xml:space="preserve">Title: One </w:t>
      </w:r>
      <w:proofErr w:type="spellStart"/>
      <w:r w:rsidRPr="004A5C0F">
        <w:rPr>
          <w:rFonts w:ascii="Arial" w:eastAsia="Calibri" w:hAnsi="Arial"/>
          <w:b/>
          <w:sz w:val="22"/>
          <w:szCs w:val="22"/>
          <w:lang w:val="en-GB"/>
        </w:rPr>
        <w:t>Wadden</w:t>
      </w:r>
      <w:proofErr w:type="spellEnd"/>
      <w:r w:rsidRPr="004A5C0F">
        <w:rPr>
          <w:rFonts w:ascii="Arial" w:eastAsia="Calibri" w:hAnsi="Arial"/>
          <w:b/>
          <w:sz w:val="22"/>
          <w:szCs w:val="22"/>
          <w:lang w:val="en-GB"/>
        </w:rPr>
        <w:t xml:space="preserve"> Sea</w:t>
      </w:r>
      <w:r w:rsidR="007136B3">
        <w:rPr>
          <w:rFonts w:ascii="Arial" w:eastAsia="Calibri" w:hAnsi="Arial"/>
          <w:b/>
          <w:sz w:val="22"/>
          <w:szCs w:val="22"/>
          <w:lang w:val="en-GB"/>
        </w:rPr>
        <w:t>,</w:t>
      </w:r>
      <w:r w:rsidRPr="004A5C0F">
        <w:rPr>
          <w:rFonts w:ascii="Arial" w:eastAsia="Calibri" w:hAnsi="Arial"/>
          <w:b/>
          <w:sz w:val="22"/>
          <w:szCs w:val="22"/>
          <w:lang w:val="en-GB"/>
        </w:rPr>
        <w:t xml:space="preserve"> one strategy. Adapt to climate change in the trilateral </w:t>
      </w:r>
      <w:proofErr w:type="spellStart"/>
      <w:r w:rsidRPr="004A5C0F">
        <w:rPr>
          <w:rFonts w:ascii="Arial" w:eastAsia="Calibri" w:hAnsi="Arial"/>
          <w:b/>
          <w:sz w:val="22"/>
          <w:szCs w:val="22"/>
          <w:lang w:val="en-GB"/>
        </w:rPr>
        <w:t>Wadden</w:t>
      </w:r>
      <w:proofErr w:type="spellEnd"/>
      <w:r w:rsidRPr="004A5C0F">
        <w:rPr>
          <w:rFonts w:ascii="Arial" w:eastAsia="Calibri" w:hAnsi="Arial"/>
          <w:b/>
          <w:sz w:val="22"/>
          <w:szCs w:val="22"/>
          <w:lang w:val="en-GB"/>
        </w:rPr>
        <w:t xml:space="preserve"> Sea Area</w:t>
      </w:r>
    </w:p>
    <w:p w:rsidR="004A5C0F" w:rsidRPr="004A5C0F" w:rsidRDefault="004A5C0F" w:rsidP="007136B3">
      <w:pPr>
        <w:spacing w:line="276" w:lineRule="auto"/>
        <w:ind w:left="426"/>
        <w:rPr>
          <w:rFonts w:ascii="Arial" w:eastAsia="Calibri" w:hAnsi="Arial"/>
          <w:b/>
          <w:sz w:val="22"/>
          <w:szCs w:val="22"/>
          <w:lang w:val="en-GB"/>
        </w:rPr>
      </w:pPr>
      <w:r w:rsidRPr="004A5C0F">
        <w:rPr>
          <w:rFonts w:ascii="Arial" w:eastAsia="Calibri" w:hAnsi="Arial"/>
          <w:b/>
          <w:sz w:val="22"/>
          <w:szCs w:val="22"/>
          <w:lang w:val="en-GB"/>
        </w:rPr>
        <w:t>Background and objective:</w:t>
      </w:r>
    </w:p>
    <w:p w:rsidR="004A5C0F" w:rsidRPr="004A5C0F" w:rsidRDefault="004A5C0F" w:rsidP="004A5C0F">
      <w:pPr>
        <w:spacing w:after="200" w:line="276" w:lineRule="auto"/>
        <w:ind w:left="426"/>
        <w:rPr>
          <w:rFonts w:ascii="Arial" w:eastAsia="Calibri" w:hAnsi="Arial"/>
          <w:sz w:val="22"/>
          <w:szCs w:val="22"/>
          <w:lang w:val="en-GB"/>
        </w:rPr>
      </w:pPr>
      <w:r w:rsidRPr="004A5C0F">
        <w:rPr>
          <w:rFonts w:ascii="Arial" w:eastAsia="Calibri" w:hAnsi="Arial"/>
          <w:sz w:val="22"/>
          <w:szCs w:val="22"/>
          <w:lang w:val="en-GB"/>
        </w:rPr>
        <w:t xml:space="preserve">Climate change and enhanced sea level rise may seriously impact structure, functions and the characteristic biodiversity of the </w:t>
      </w:r>
      <w:proofErr w:type="spellStart"/>
      <w:r w:rsidRPr="004A5C0F">
        <w:rPr>
          <w:rFonts w:ascii="Arial" w:eastAsia="Calibri" w:hAnsi="Arial"/>
          <w:sz w:val="22"/>
          <w:szCs w:val="22"/>
          <w:lang w:val="en-GB"/>
        </w:rPr>
        <w:t>Wadden</w:t>
      </w:r>
      <w:proofErr w:type="spellEnd"/>
      <w:r w:rsidRPr="004A5C0F">
        <w:rPr>
          <w:rFonts w:ascii="Arial" w:eastAsia="Calibri" w:hAnsi="Arial"/>
          <w:sz w:val="22"/>
          <w:szCs w:val="22"/>
          <w:lang w:val="en-GB"/>
        </w:rPr>
        <w:t xml:space="preserve"> Sea ecosystem as well as the safety of the inhabitants in the region. The trilateral cooperation therefore aims at achieving resilience to climate change. As cross-cutting theme, this topic is of relevance for a wide range of trilateral </w:t>
      </w:r>
      <w:proofErr w:type="spellStart"/>
      <w:r w:rsidRPr="004A5C0F">
        <w:rPr>
          <w:rFonts w:ascii="Arial" w:eastAsia="Calibri" w:hAnsi="Arial"/>
          <w:sz w:val="22"/>
          <w:szCs w:val="22"/>
          <w:lang w:val="en-GB"/>
        </w:rPr>
        <w:t>Wadden</w:t>
      </w:r>
      <w:proofErr w:type="spellEnd"/>
      <w:r w:rsidRPr="004A5C0F">
        <w:rPr>
          <w:rFonts w:ascii="Arial" w:eastAsia="Calibri" w:hAnsi="Arial"/>
          <w:sz w:val="22"/>
          <w:szCs w:val="22"/>
          <w:lang w:val="en-GB"/>
        </w:rPr>
        <w:t xml:space="preserve"> Sea themes, projects and management.</w:t>
      </w:r>
    </w:p>
    <w:p w:rsidR="004A5C0F" w:rsidRDefault="004A5C0F" w:rsidP="004A5C0F">
      <w:pPr>
        <w:spacing w:after="200" w:line="276" w:lineRule="auto"/>
        <w:ind w:left="426"/>
        <w:rPr>
          <w:rFonts w:ascii="Arial" w:eastAsia="Calibri" w:hAnsi="Arial"/>
          <w:sz w:val="22"/>
          <w:szCs w:val="22"/>
          <w:lang w:val="en-GB"/>
        </w:rPr>
      </w:pPr>
      <w:r w:rsidRPr="004A5C0F">
        <w:rPr>
          <w:rFonts w:ascii="Arial" w:eastAsia="Calibri" w:hAnsi="Arial"/>
          <w:sz w:val="22"/>
          <w:szCs w:val="22"/>
          <w:lang w:val="en-GB"/>
        </w:rPr>
        <w:t xml:space="preserve">A trilateral climate change adaptation strategy (CCAS) was developed by the </w:t>
      </w:r>
      <w:proofErr w:type="spellStart"/>
      <w:r w:rsidRPr="004A5C0F">
        <w:rPr>
          <w:rFonts w:ascii="Arial" w:eastAsia="Calibri" w:hAnsi="Arial"/>
          <w:sz w:val="22"/>
          <w:szCs w:val="22"/>
          <w:lang w:val="en-GB"/>
        </w:rPr>
        <w:t>Wadden</w:t>
      </w:r>
      <w:proofErr w:type="spellEnd"/>
      <w:r w:rsidRPr="004A5C0F">
        <w:rPr>
          <w:rFonts w:ascii="Arial" w:eastAsia="Calibri" w:hAnsi="Arial"/>
          <w:sz w:val="22"/>
          <w:szCs w:val="22"/>
          <w:lang w:val="en-GB"/>
        </w:rPr>
        <w:t xml:space="preserve"> Sea Board´s Task Group Climate (TG-C). This strategy consists of seven basic elements: Natural dynamics, Interconnectivity, Integration, Flexibility, Long-term approach, Site specific approach and Participation. These elements were positively evaluated in a recent monitoring report. It is, however, a challenge to make this successful strategy and its principles known to (and used by) relevant coastal authorities and project managers, to be implemented in projects and management actions for a sustainable future.</w:t>
      </w:r>
    </w:p>
    <w:p w:rsidR="004A5C0F" w:rsidRPr="004A5C0F" w:rsidRDefault="004A5C0F" w:rsidP="007136B3">
      <w:pPr>
        <w:keepNext/>
        <w:keepLines/>
        <w:spacing w:before="200" w:line="276" w:lineRule="auto"/>
        <w:ind w:left="426"/>
        <w:outlineLvl w:val="1"/>
        <w:rPr>
          <w:rFonts w:ascii="Arial" w:hAnsi="Arial" w:cs="Arial"/>
          <w:b/>
          <w:bCs/>
          <w:sz w:val="22"/>
          <w:szCs w:val="22"/>
          <w:lang w:val="en-GB"/>
        </w:rPr>
      </w:pPr>
      <w:r w:rsidRPr="004A5C0F">
        <w:rPr>
          <w:rFonts w:ascii="Arial" w:hAnsi="Arial" w:cs="Arial"/>
          <w:b/>
          <w:bCs/>
          <w:sz w:val="22"/>
          <w:szCs w:val="22"/>
          <w:lang w:val="en-GB"/>
        </w:rPr>
        <w:t>Aims:</w:t>
      </w:r>
    </w:p>
    <w:p w:rsidR="004A5C0F" w:rsidRPr="00626C26" w:rsidRDefault="004A5C0F" w:rsidP="007136B3">
      <w:pPr>
        <w:pStyle w:val="Listenabsatz"/>
        <w:ind w:left="851" w:hanging="425"/>
        <w:rPr>
          <w:lang w:val="en-GB"/>
        </w:rPr>
      </w:pPr>
      <w:r w:rsidRPr="00626C26">
        <w:rPr>
          <w:lang w:val="en-GB"/>
        </w:rPr>
        <w:t xml:space="preserve">contribute to understanding of climate change effects and threats for the </w:t>
      </w:r>
      <w:proofErr w:type="spellStart"/>
      <w:r w:rsidRPr="00626C26">
        <w:rPr>
          <w:lang w:val="en-GB"/>
        </w:rPr>
        <w:t>Wadden</w:t>
      </w:r>
      <w:proofErr w:type="spellEnd"/>
      <w:r w:rsidRPr="00626C26">
        <w:rPr>
          <w:lang w:val="en-GB"/>
        </w:rPr>
        <w:t xml:space="preserve"> Sea;</w:t>
      </w:r>
    </w:p>
    <w:p w:rsidR="004A5C0F" w:rsidRPr="00626C26" w:rsidRDefault="004A5C0F" w:rsidP="007136B3">
      <w:pPr>
        <w:pStyle w:val="Listenabsatz"/>
        <w:ind w:left="851" w:hanging="425"/>
        <w:rPr>
          <w:lang w:val="en-GB"/>
        </w:rPr>
      </w:pPr>
      <w:r w:rsidRPr="00626C26">
        <w:rPr>
          <w:lang w:val="en-GB"/>
        </w:rPr>
        <w:t>contribute to sharing and understanding the trilateral CCAS principles (create awareness);</w:t>
      </w:r>
    </w:p>
    <w:p w:rsidR="004A5C0F" w:rsidRPr="00626C26" w:rsidRDefault="004A5C0F" w:rsidP="007136B3">
      <w:pPr>
        <w:pStyle w:val="Listenabsatz"/>
        <w:ind w:left="851" w:hanging="425"/>
        <w:rPr>
          <w:lang w:val="en-GB"/>
        </w:rPr>
      </w:pPr>
      <w:r w:rsidRPr="00626C26">
        <w:rPr>
          <w:lang w:val="en-GB"/>
        </w:rPr>
        <w:t>promote the implementation of the trilateral CCAS principles in current and future projects;</w:t>
      </w:r>
    </w:p>
    <w:p w:rsidR="004A5C0F" w:rsidRPr="00626C26" w:rsidRDefault="004A5C0F" w:rsidP="007136B3">
      <w:pPr>
        <w:pStyle w:val="Listenabsatz"/>
        <w:ind w:left="851" w:hanging="425"/>
        <w:rPr>
          <w:lang w:val="en-GB"/>
        </w:rPr>
      </w:pPr>
      <w:r w:rsidRPr="00626C26">
        <w:rPr>
          <w:lang w:val="en-GB"/>
        </w:rPr>
        <w:t xml:space="preserve">foster knowledge exchange for trilateral climate change adaptation in the </w:t>
      </w:r>
      <w:proofErr w:type="spellStart"/>
      <w:r w:rsidRPr="00626C26">
        <w:rPr>
          <w:lang w:val="en-GB"/>
        </w:rPr>
        <w:t>Wadden</w:t>
      </w:r>
      <w:proofErr w:type="spellEnd"/>
      <w:r w:rsidRPr="00626C26">
        <w:rPr>
          <w:lang w:val="en-GB"/>
        </w:rPr>
        <w:t xml:space="preserve"> Sea;</w:t>
      </w:r>
    </w:p>
    <w:p w:rsidR="004A5C0F" w:rsidRPr="00626C26" w:rsidRDefault="004A5C0F" w:rsidP="007136B3">
      <w:pPr>
        <w:pStyle w:val="Listenabsatz"/>
        <w:ind w:left="851" w:hanging="425"/>
        <w:rPr>
          <w:lang w:val="en-GB"/>
        </w:rPr>
      </w:pPr>
      <w:proofErr w:type="gramStart"/>
      <w:r w:rsidRPr="00626C26">
        <w:rPr>
          <w:lang w:val="en-GB"/>
        </w:rPr>
        <w:t>demonstrate</w:t>
      </w:r>
      <w:proofErr w:type="gramEnd"/>
      <w:r w:rsidRPr="00626C26">
        <w:rPr>
          <w:lang w:val="en-GB"/>
        </w:rPr>
        <w:t xml:space="preserve"> and further strengthen trilateral collaboration in climate change adaptation.</w:t>
      </w:r>
    </w:p>
    <w:p w:rsidR="004A5C0F" w:rsidRPr="004A5C0F" w:rsidRDefault="004A5C0F" w:rsidP="007136B3">
      <w:pPr>
        <w:keepNext/>
        <w:keepLines/>
        <w:spacing w:before="200" w:line="276" w:lineRule="auto"/>
        <w:ind w:left="426"/>
        <w:outlineLvl w:val="1"/>
        <w:rPr>
          <w:rFonts w:ascii="Arial" w:hAnsi="Arial" w:cs="Arial"/>
          <w:b/>
          <w:bCs/>
          <w:sz w:val="22"/>
          <w:szCs w:val="22"/>
          <w:lang w:val="en-GB"/>
        </w:rPr>
      </w:pPr>
      <w:r w:rsidRPr="004A5C0F">
        <w:rPr>
          <w:rFonts w:ascii="Arial" w:hAnsi="Arial" w:cs="Arial"/>
          <w:b/>
          <w:bCs/>
          <w:sz w:val="22"/>
          <w:szCs w:val="22"/>
          <w:lang w:val="en-GB"/>
        </w:rPr>
        <w:t>Character, format and draft programme:</w:t>
      </w:r>
    </w:p>
    <w:p w:rsidR="004A5C0F" w:rsidRPr="004A5C0F" w:rsidRDefault="004A5C0F" w:rsidP="004A5C0F">
      <w:pPr>
        <w:spacing w:after="200" w:line="276" w:lineRule="auto"/>
        <w:ind w:left="426"/>
        <w:rPr>
          <w:rFonts w:ascii="Arial" w:eastAsia="Calibri" w:hAnsi="Arial"/>
          <w:sz w:val="22"/>
          <w:szCs w:val="22"/>
          <w:lang w:val="en-GB"/>
        </w:rPr>
      </w:pPr>
      <w:r w:rsidRPr="004A5C0F">
        <w:rPr>
          <w:rFonts w:ascii="Arial" w:eastAsia="Calibri" w:hAnsi="Arial"/>
          <w:sz w:val="22"/>
          <w:szCs w:val="22"/>
        </w:rPr>
        <w:t xml:space="preserve">Location: Foyer of </w:t>
      </w:r>
      <w:proofErr w:type="spellStart"/>
      <w:r w:rsidRPr="004A5C0F">
        <w:rPr>
          <w:rFonts w:ascii="Arial" w:eastAsia="Calibri" w:hAnsi="Arial"/>
          <w:sz w:val="22"/>
          <w:szCs w:val="22"/>
        </w:rPr>
        <w:t>Stadsschouwburg</w:t>
      </w:r>
      <w:proofErr w:type="spellEnd"/>
      <w:r w:rsidRPr="004A5C0F">
        <w:rPr>
          <w:rFonts w:ascii="Arial" w:eastAsia="Calibri" w:hAnsi="Arial"/>
          <w:sz w:val="22"/>
          <w:szCs w:val="22"/>
        </w:rPr>
        <w:t xml:space="preserve"> De Harmonie. </w:t>
      </w:r>
      <w:proofErr w:type="spellStart"/>
      <w:r w:rsidRPr="004A5C0F">
        <w:rPr>
          <w:rFonts w:ascii="Arial" w:eastAsia="Calibri" w:hAnsi="Arial"/>
          <w:sz w:val="22"/>
          <w:szCs w:val="22"/>
          <w:lang w:val="en-GB"/>
        </w:rPr>
        <w:t>Ruiterskwartier</w:t>
      </w:r>
      <w:proofErr w:type="spellEnd"/>
      <w:r w:rsidRPr="004A5C0F">
        <w:rPr>
          <w:rFonts w:ascii="Arial" w:eastAsia="Calibri" w:hAnsi="Arial"/>
          <w:sz w:val="22"/>
          <w:szCs w:val="22"/>
          <w:lang w:val="en-GB"/>
        </w:rPr>
        <w:t xml:space="preserve"> 4 8911 BP Leeuwarden</w:t>
      </w:r>
    </w:p>
    <w:p w:rsidR="007136B3" w:rsidRPr="004A5C0F" w:rsidRDefault="007136B3" w:rsidP="007136B3">
      <w:pPr>
        <w:spacing w:after="200" w:line="276" w:lineRule="auto"/>
        <w:ind w:left="426"/>
        <w:rPr>
          <w:rFonts w:ascii="Arial" w:eastAsia="Calibri" w:hAnsi="Arial"/>
          <w:sz w:val="22"/>
          <w:szCs w:val="22"/>
          <w:lang w:val="en-GB"/>
        </w:rPr>
      </w:pPr>
      <w:r w:rsidRPr="007136B3">
        <w:rPr>
          <w:rFonts w:ascii="Arial" w:eastAsia="Calibri" w:hAnsi="Arial"/>
          <w:sz w:val="22"/>
          <w:szCs w:val="22"/>
          <w:lang w:val="en-GB"/>
        </w:rPr>
        <w:lastRenderedPageBreak/>
        <w:t>The TG-C side event is planned as “contact point” during the conference. It will be staffed with TG-C members and can be visited during conference breaks and “from time to time”.</w:t>
      </w:r>
    </w:p>
    <w:tbl>
      <w:tblPr>
        <w:tblW w:w="0" w:type="auto"/>
        <w:jc w:val="center"/>
        <w:tblInd w:w="-201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6"/>
        <w:gridCol w:w="532"/>
      </w:tblGrid>
      <w:tr w:rsidR="004A5C0F" w:rsidRPr="004A5C0F" w:rsidTr="004A5C0F">
        <w:trPr>
          <w:trHeight w:val="463"/>
          <w:jc w:val="center"/>
        </w:trPr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A5C0F" w:rsidRPr="004A5C0F" w:rsidRDefault="004A5C0F" w:rsidP="004A5C0F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lang w:val="de-DE"/>
              </w:rPr>
            </w:pPr>
            <w:r w:rsidRPr="004A5C0F">
              <w:rPr>
                <w:rFonts w:ascii="Arial" w:eastAsia="Calibri" w:hAnsi="Arial" w:cs="Arial"/>
                <w:b/>
                <w:sz w:val="22"/>
                <w:szCs w:val="22"/>
                <w:lang w:val="de-DE"/>
              </w:rPr>
              <w:t xml:space="preserve">Basic </w:t>
            </w:r>
            <w:proofErr w:type="spellStart"/>
            <w:r w:rsidRPr="004A5C0F">
              <w:rPr>
                <w:rFonts w:ascii="Arial" w:eastAsia="Calibri" w:hAnsi="Arial" w:cs="Arial"/>
                <w:b/>
                <w:sz w:val="22"/>
                <w:szCs w:val="22"/>
                <w:lang w:val="de-DE"/>
              </w:rPr>
              <w:t>infrastructure</w:t>
            </w:r>
            <w:proofErr w:type="spellEnd"/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C0F" w:rsidRPr="004A5C0F" w:rsidRDefault="004A5C0F" w:rsidP="004A5C0F">
            <w:pPr>
              <w:spacing w:line="276" w:lineRule="auto"/>
              <w:jc w:val="center"/>
              <w:rPr>
                <w:rFonts w:ascii="Calibri" w:eastAsia="Calibri" w:hAnsi="Calibri" w:cs="Arial"/>
                <w:sz w:val="20"/>
                <w:szCs w:val="20"/>
                <w:lang w:val="de-DE"/>
              </w:rPr>
            </w:pPr>
          </w:p>
        </w:tc>
      </w:tr>
      <w:tr w:rsidR="004A5C0F" w:rsidRPr="004A5C0F" w:rsidTr="004A5C0F">
        <w:trPr>
          <w:trHeight w:val="463"/>
          <w:jc w:val="center"/>
        </w:trPr>
        <w:tc>
          <w:tcPr>
            <w:tcW w:w="7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A5C0F" w:rsidRPr="004A5C0F" w:rsidRDefault="007136B3" w:rsidP="00915CB8">
            <w:pPr>
              <w:spacing w:line="276" w:lineRule="auto"/>
              <w:ind w:left="344"/>
              <w:rPr>
                <w:rFonts w:ascii="Arial" w:eastAsia="Calibri" w:hAnsi="Arial" w:cs="Arial"/>
                <w:sz w:val="22"/>
                <w:szCs w:val="22"/>
                <w:lang w:val="en-GB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GB"/>
              </w:rPr>
              <w:t>s</w:t>
            </w:r>
            <w:r w:rsidRPr="007136B3">
              <w:rPr>
                <w:rFonts w:ascii="Arial" w:eastAsia="Calibri" w:hAnsi="Arial" w:cs="Arial"/>
                <w:sz w:val="22"/>
                <w:szCs w:val="22"/>
                <w:lang w:val="en-GB"/>
              </w:rPr>
              <w:t>tand (</w:t>
            </w:r>
            <w:r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back wall, </w:t>
            </w:r>
            <w:r w:rsidRPr="007136B3">
              <w:rPr>
                <w:rFonts w:ascii="Arial" w:eastAsia="Calibri" w:hAnsi="Arial" w:cs="Arial"/>
                <w:sz w:val="22"/>
                <w:szCs w:val="22"/>
                <w:lang w:val="en-GB"/>
              </w:rPr>
              <w:t>lamp</w:t>
            </w:r>
            <w:r>
              <w:rPr>
                <w:rFonts w:ascii="Arial" w:eastAsia="Calibri" w:hAnsi="Arial" w:cs="Arial"/>
                <w:sz w:val="22"/>
                <w:szCs w:val="22"/>
                <w:lang w:val="en-GB"/>
              </w:rPr>
              <w:t>, table)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5C0F" w:rsidRPr="004A5C0F" w:rsidRDefault="004A5C0F" w:rsidP="004A5C0F">
            <w:pPr>
              <w:spacing w:line="276" w:lineRule="auto"/>
              <w:jc w:val="center"/>
              <w:rPr>
                <w:rFonts w:ascii="Calibri" w:eastAsia="Calibri" w:hAnsi="Calibri" w:cs="Arial"/>
                <w:sz w:val="20"/>
                <w:szCs w:val="20"/>
                <w:lang w:val="en-GB"/>
              </w:rPr>
            </w:pPr>
          </w:p>
        </w:tc>
      </w:tr>
      <w:tr w:rsidR="004A5C0F" w:rsidRPr="004A5C0F" w:rsidTr="004A5C0F">
        <w:trPr>
          <w:trHeight w:val="463"/>
          <w:jc w:val="center"/>
        </w:trPr>
        <w:tc>
          <w:tcPr>
            <w:tcW w:w="7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A5C0F" w:rsidRPr="004A5C0F" w:rsidRDefault="004A5C0F" w:rsidP="004A5C0F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lang w:val="de-DE"/>
              </w:rPr>
            </w:pPr>
            <w:r w:rsidRPr="004A5C0F">
              <w:rPr>
                <w:rFonts w:ascii="Arial" w:eastAsia="Calibri" w:hAnsi="Arial" w:cs="Arial"/>
                <w:b/>
                <w:sz w:val="22"/>
                <w:szCs w:val="22"/>
                <w:lang w:val="de-DE"/>
              </w:rPr>
              <w:t>Information material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5C0F" w:rsidRPr="004A5C0F" w:rsidRDefault="004A5C0F" w:rsidP="004A5C0F">
            <w:pPr>
              <w:spacing w:line="276" w:lineRule="auto"/>
              <w:jc w:val="center"/>
              <w:rPr>
                <w:rFonts w:ascii="Calibri" w:eastAsia="Calibri" w:hAnsi="Calibri" w:cs="Arial"/>
                <w:sz w:val="20"/>
                <w:szCs w:val="20"/>
                <w:lang w:val="de-DE"/>
              </w:rPr>
            </w:pPr>
          </w:p>
        </w:tc>
      </w:tr>
      <w:tr w:rsidR="004A5C0F" w:rsidRPr="004A5C0F" w:rsidTr="004A5C0F">
        <w:trPr>
          <w:trHeight w:val="463"/>
          <w:jc w:val="center"/>
        </w:trPr>
        <w:tc>
          <w:tcPr>
            <w:tcW w:w="7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A5C0F" w:rsidRPr="004A5C0F" w:rsidRDefault="004A5C0F" w:rsidP="00915CB8">
            <w:pPr>
              <w:spacing w:line="276" w:lineRule="auto"/>
              <w:ind w:left="344"/>
              <w:rPr>
                <w:rFonts w:ascii="Arial" w:eastAsia="Calibri" w:hAnsi="Arial" w:cs="Arial"/>
                <w:sz w:val="22"/>
                <w:szCs w:val="22"/>
                <w:lang w:val="en-GB"/>
              </w:rPr>
            </w:pPr>
            <w:r w:rsidRPr="004A5C0F"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ebb tidal model of </w:t>
            </w:r>
            <w:proofErr w:type="spellStart"/>
            <w:r w:rsidRPr="004A5C0F">
              <w:rPr>
                <w:rFonts w:ascii="Arial" w:eastAsia="Calibri" w:hAnsi="Arial" w:cs="Arial"/>
                <w:sz w:val="22"/>
                <w:szCs w:val="22"/>
                <w:lang w:val="en-GB"/>
              </w:rPr>
              <w:t>Deltares</w:t>
            </w:r>
            <w:proofErr w:type="spellEnd"/>
            <w:r w:rsidR="00D379D3"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5C0F" w:rsidRPr="004A5C0F" w:rsidRDefault="004A5C0F" w:rsidP="004A5C0F">
            <w:pPr>
              <w:spacing w:line="276" w:lineRule="auto"/>
              <w:jc w:val="center"/>
              <w:rPr>
                <w:rFonts w:ascii="Calibri" w:eastAsia="Calibri" w:hAnsi="Calibri" w:cs="Arial"/>
                <w:sz w:val="20"/>
                <w:szCs w:val="20"/>
                <w:lang w:val="en-GB"/>
              </w:rPr>
            </w:pPr>
          </w:p>
        </w:tc>
      </w:tr>
      <w:tr w:rsidR="004A5C0F" w:rsidRPr="004A5C0F" w:rsidTr="004A5C0F">
        <w:trPr>
          <w:trHeight w:val="463"/>
          <w:jc w:val="center"/>
        </w:trPr>
        <w:tc>
          <w:tcPr>
            <w:tcW w:w="7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A5C0F" w:rsidRPr="004A5C0F" w:rsidRDefault="007136B3" w:rsidP="00915CB8">
            <w:pPr>
              <w:spacing w:line="276" w:lineRule="auto"/>
              <w:ind w:left="344"/>
              <w:rPr>
                <w:rFonts w:ascii="Arial" w:eastAsia="Calibri" w:hAnsi="Arial" w:cs="Arial"/>
                <w:sz w:val="22"/>
                <w:szCs w:val="22"/>
                <w:lang w:val="en-GB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roll-up with TG-C´s climate change adaptation </w:t>
            </w:r>
            <w:r w:rsidR="004A5C0F" w:rsidRPr="004A5C0F">
              <w:rPr>
                <w:rFonts w:ascii="Arial" w:eastAsia="Calibri" w:hAnsi="Arial" w:cs="Arial"/>
                <w:sz w:val="22"/>
                <w:szCs w:val="22"/>
                <w:lang w:val="en-GB"/>
              </w:rPr>
              <w:t>principles</w:t>
            </w:r>
            <w:r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 (Annex 2)</w:t>
            </w:r>
            <w:bookmarkStart w:id="0" w:name="_GoBack"/>
            <w:bookmarkEnd w:id="0"/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5C0F" w:rsidRPr="004A5C0F" w:rsidRDefault="004A5C0F" w:rsidP="004A5C0F">
            <w:pPr>
              <w:spacing w:line="276" w:lineRule="auto"/>
              <w:jc w:val="center"/>
              <w:rPr>
                <w:rFonts w:ascii="Calibri" w:eastAsia="Calibri" w:hAnsi="Calibri" w:cs="Arial"/>
                <w:sz w:val="20"/>
                <w:szCs w:val="20"/>
                <w:lang w:val="en-GB"/>
              </w:rPr>
            </w:pPr>
          </w:p>
        </w:tc>
      </w:tr>
      <w:tr w:rsidR="004A5C0F" w:rsidRPr="004A5C0F" w:rsidTr="004A5C0F">
        <w:trPr>
          <w:trHeight w:val="463"/>
          <w:jc w:val="center"/>
        </w:trPr>
        <w:tc>
          <w:tcPr>
            <w:tcW w:w="7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A5C0F" w:rsidRPr="004A5C0F" w:rsidRDefault="00915CB8" w:rsidP="00634BE2">
            <w:pPr>
              <w:spacing w:line="276" w:lineRule="auto"/>
              <w:ind w:left="344"/>
              <w:rPr>
                <w:rFonts w:ascii="Arial" w:eastAsia="Calibri" w:hAnsi="Arial" w:cs="Arial"/>
                <w:sz w:val="22"/>
                <w:szCs w:val="22"/>
                <w:lang w:val="en-GB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GB"/>
              </w:rPr>
              <w:t>i</w:t>
            </w:r>
            <w:r w:rsidR="007136B3"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nformation material, e.g., </w:t>
            </w:r>
            <w:r w:rsidR="004A5C0F" w:rsidRPr="004A5C0F"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leaflet based on </w:t>
            </w:r>
            <w:r w:rsidR="007136B3"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the </w:t>
            </w:r>
            <w:r w:rsidR="004A5C0F" w:rsidRPr="004A5C0F">
              <w:rPr>
                <w:rFonts w:ascii="Arial" w:eastAsia="Calibri" w:hAnsi="Arial" w:cs="Arial"/>
                <w:sz w:val="22"/>
                <w:szCs w:val="22"/>
                <w:lang w:val="en-GB"/>
              </w:rPr>
              <w:t>ebb tidal delta report</w:t>
            </w:r>
            <w:r w:rsidR="007136B3"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 </w:t>
            </w:r>
            <w:r w:rsidR="0071598A">
              <w:rPr>
                <w:rFonts w:ascii="Arial" w:eastAsia="Calibri" w:hAnsi="Arial" w:cs="Arial"/>
                <w:sz w:val="22"/>
                <w:szCs w:val="22"/>
                <w:lang w:val="en-GB"/>
              </w:rPr>
              <w:t xml:space="preserve">     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5C0F" w:rsidRPr="004A5C0F" w:rsidRDefault="004A5C0F" w:rsidP="004A5C0F">
            <w:pPr>
              <w:spacing w:line="276" w:lineRule="auto"/>
              <w:jc w:val="center"/>
              <w:rPr>
                <w:rFonts w:ascii="Calibri" w:eastAsia="Calibri" w:hAnsi="Calibri" w:cs="Arial"/>
                <w:sz w:val="20"/>
                <w:szCs w:val="20"/>
                <w:lang w:val="en-GB"/>
              </w:rPr>
            </w:pPr>
          </w:p>
        </w:tc>
      </w:tr>
      <w:tr w:rsidR="004A5C0F" w:rsidRPr="004A5C0F" w:rsidTr="004A5C0F">
        <w:trPr>
          <w:trHeight w:val="463"/>
          <w:jc w:val="center"/>
        </w:trPr>
        <w:tc>
          <w:tcPr>
            <w:tcW w:w="72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5C0F" w:rsidRPr="004A5C0F" w:rsidRDefault="004A5C0F" w:rsidP="004A5C0F">
            <w:pPr>
              <w:spacing w:line="276" w:lineRule="auto"/>
              <w:rPr>
                <w:rFonts w:ascii="Calibri" w:eastAsia="Calibri" w:hAnsi="Calibri" w:cs="Arial"/>
                <w:sz w:val="20"/>
                <w:szCs w:val="20"/>
                <w:lang w:val="en-GB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5C0F" w:rsidRPr="004A5C0F" w:rsidRDefault="004A5C0F" w:rsidP="004A5C0F">
            <w:pPr>
              <w:spacing w:line="276" w:lineRule="auto"/>
              <w:jc w:val="center"/>
              <w:rPr>
                <w:rFonts w:ascii="Calibri" w:eastAsia="Calibri" w:hAnsi="Calibri" w:cs="Arial"/>
                <w:sz w:val="20"/>
                <w:szCs w:val="20"/>
                <w:lang w:val="en-GB"/>
              </w:rPr>
            </w:pPr>
          </w:p>
        </w:tc>
      </w:tr>
    </w:tbl>
    <w:p w:rsidR="004A5C0F" w:rsidRPr="004A5C0F" w:rsidRDefault="004A5C0F" w:rsidP="007136B3">
      <w:pPr>
        <w:spacing w:line="276" w:lineRule="auto"/>
        <w:ind w:left="426"/>
        <w:rPr>
          <w:rFonts w:ascii="Arial" w:eastAsia="Calibri" w:hAnsi="Arial"/>
          <w:b/>
          <w:sz w:val="22"/>
          <w:szCs w:val="22"/>
          <w:lang w:val="en-GB"/>
        </w:rPr>
      </w:pPr>
      <w:r w:rsidRPr="004A5C0F">
        <w:rPr>
          <w:rFonts w:ascii="Arial" w:eastAsia="Calibri" w:hAnsi="Arial"/>
          <w:b/>
          <w:sz w:val="22"/>
          <w:szCs w:val="22"/>
          <w:lang w:val="en-GB"/>
        </w:rPr>
        <w:t>Target group</w:t>
      </w:r>
    </w:p>
    <w:p w:rsidR="004A5C0F" w:rsidRPr="004A5C0F" w:rsidRDefault="004A5C0F" w:rsidP="007136B3">
      <w:pPr>
        <w:numPr>
          <w:ilvl w:val="0"/>
          <w:numId w:val="24"/>
        </w:numPr>
        <w:spacing w:after="200" w:line="276" w:lineRule="auto"/>
        <w:ind w:left="851"/>
        <w:contextualSpacing/>
        <w:rPr>
          <w:rFonts w:ascii="Arial" w:hAnsi="Arial" w:cs="Arial"/>
          <w:sz w:val="22"/>
          <w:szCs w:val="22"/>
          <w:lang w:val="en-GB"/>
        </w:rPr>
      </w:pPr>
      <w:r w:rsidRPr="004A5C0F">
        <w:rPr>
          <w:rFonts w:ascii="Arial" w:hAnsi="Arial" w:cs="Arial"/>
          <w:sz w:val="22"/>
          <w:szCs w:val="22"/>
          <w:lang w:val="en-GB"/>
        </w:rPr>
        <w:t>decision-/policy makers</w:t>
      </w:r>
    </w:p>
    <w:p w:rsidR="004A5C0F" w:rsidRPr="004A5C0F" w:rsidRDefault="004A5C0F" w:rsidP="007136B3">
      <w:pPr>
        <w:numPr>
          <w:ilvl w:val="0"/>
          <w:numId w:val="24"/>
        </w:numPr>
        <w:spacing w:after="200" w:line="276" w:lineRule="auto"/>
        <w:ind w:left="851"/>
        <w:contextualSpacing/>
        <w:rPr>
          <w:rFonts w:ascii="Arial" w:hAnsi="Arial" w:cs="Arial"/>
          <w:sz w:val="22"/>
          <w:szCs w:val="22"/>
          <w:lang w:val="en-GB"/>
        </w:rPr>
      </w:pPr>
      <w:proofErr w:type="spellStart"/>
      <w:r w:rsidRPr="004A5C0F">
        <w:rPr>
          <w:rFonts w:ascii="Arial" w:hAnsi="Arial" w:cs="Arial"/>
          <w:sz w:val="22"/>
          <w:szCs w:val="22"/>
          <w:lang w:val="en-GB"/>
        </w:rPr>
        <w:t>Wadden</w:t>
      </w:r>
      <w:proofErr w:type="spellEnd"/>
      <w:r w:rsidRPr="004A5C0F">
        <w:rPr>
          <w:rFonts w:ascii="Arial" w:hAnsi="Arial" w:cs="Arial"/>
          <w:sz w:val="22"/>
          <w:szCs w:val="22"/>
          <w:lang w:val="en-GB"/>
        </w:rPr>
        <w:t xml:space="preserve"> Sea coastal authorities</w:t>
      </w:r>
    </w:p>
    <w:p w:rsidR="004A5C0F" w:rsidRPr="004A5C0F" w:rsidRDefault="004A5C0F" w:rsidP="007136B3">
      <w:pPr>
        <w:numPr>
          <w:ilvl w:val="0"/>
          <w:numId w:val="24"/>
        </w:numPr>
        <w:spacing w:after="200" w:line="276" w:lineRule="auto"/>
        <w:ind w:left="851"/>
        <w:contextualSpacing/>
        <w:rPr>
          <w:rFonts w:ascii="Arial" w:hAnsi="Arial" w:cs="Arial"/>
          <w:sz w:val="22"/>
          <w:szCs w:val="22"/>
          <w:lang w:val="en-GB"/>
        </w:rPr>
      </w:pPr>
      <w:r w:rsidRPr="004A5C0F">
        <w:rPr>
          <w:rFonts w:ascii="Arial" w:hAnsi="Arial" w:cs="Arial"/>
          <w:sz w:val="22"/>
          <w:szCs w:val="22"/>
          <w:lang w:val="en-GB"/>
        </w:rPr>
        <w:t>NGOs</w:t>
      </w:r>
    </w:p>
    <w:p w:rsidR="004A5C0F" w:rsidRDefault="004A5C0F" w:rsidP="007136B3">
      <w:pPr>
        <w:numPr>
          <w:ilvl w:val="0"/>
          <w:numId w:val="24"/>
        </w:numPr>
        <w:spacing w:after="200" w:line="276" w:lineRule="auto"/>
        <w:ind w:left="851"/>
        <w:contextualSpacing/>
        <w:rPr>
          <w:rFonts w:ascii="Arial" w:hAnsi="Arial" w:cs="Arial"/>
          <w:sz w:val="22"/>
          <w:szCs w:val="22"/>
          <w:lang w:val="en-GB"/>
        </w:rPr>
      </w:pPr>
      <w:r w:rsidRPr="004A5C0F">
        <w:rPr>
          <w:rFonts w:ascii="Arial" w:hAnsi="Arial" w:cs="Arial"/>
          <w:sz w:val="22"/>
          <w:szCs w:val="22"/>
          <w:lang w:val="en-GB"/>
        </w:rPr>
        <w:t>possibly scientists</w:t>
      </w:r>
    </w:p>
    <w:p w:rsidR="007136B3" w:rsidRPr="004A5C0F" w:rsidRDefault="007136B3" w:rsidP="007136B3">
      <w:pPr>
        <w:spacing w:after="200" w:line="276" w:lineRule="auto"/>
        <w:ind w:left="720"/>
        <w:contextualSpacing/>
        <w:rPr>
          <w:rFonts w:ascii="Arial" w:hAnsi="Arial" w:cs="Arial"/>
          <w:sz w:val="22"/>
          <w:szCs w:val="22"/>
          <w:lang w:val="en-GB"/>
        </w:rPr>
      </w:pPr>
    </w:p>
    <w:p w:rsidR="004A5C0F" w:rsidRPr="004A5C0F" w:rsidRDefault="004A5C0F" w:rsidP="007136B3">
      <w:pPr>
        <w:spacing w:line="276" w:lineRule="auto"/>
        <w:ind w:left="426"/>
        <w:rPr>
          <w:rFonts w:ascii="Arial" w:eastAsia="Calibri" w:hAnsi="Arial"/>
          <w:b/>
          <w:sz w:val="22"/>
          <w:szCs w:val="22"/>
          <w:lang w:val="en-GB"/>
        </w:rPr>
      </w:pPr>
      <w:r w:rsidRPr="004A5C0F">
        <w:rPr>
          <w:rFonts w:ascii="Arial" w:eastAsia="Calibri" w:hAnsi="Arial"/>
          <w:b/>
          <w:sz w:val="22"/>
          <w:szCs w:val="22"/>
          <w:lang w:val="en-GB"/>
        </w:rPr>
        <w:t>On-site members of TG-C:</w:t>
      </w:r>
    </w:p>
    <w:p w:rsidR="004A5C0F" w:rsidRPr="004A5C0F" w:rsidRDefault="004A5C0F" w:rsidP="004A5C0F">
      <w:pPr>
        <w:spacing w:after="200" w:line="276" w:lineRule="auto"/>
        <w:ind w:left="426"/>
        <w:rPr>
          <w:rFonts w:ascii="Arial" w:eastAsia="Calibri" w:hAnsi="Arial"/>
          <w:sz w:val="22"/>
          <w:szCs w:val="22"/>
          <w:lang w:val="en-GB"/>
        </w:rPr>
      </w:pPr>
      <w:proofErr w:type="gramStart"/>
      <w:r w:rsidRPr="004A5C0F">
        <w:rPr>
          <w:rFonts w:ascii="Arial" w:eastAsia="Calibri" w:hAnsi="Arial"/>
          <w:sz w:val="22"/>
          <w:szCs w:val="22"/>
          <w:lang w:val="en-GB"/>
        </w:rPr>
        <w:t>Robert</w:t>
      </w:r>
      <w:r w:rsidR="007136B3">
        <w:rPr>
          <w:rFonts w:ascii="Arial" w:eastAsia="Calibri" w:hAnsi="Arial"/>
          <w:sz w:val="22"/>
          <w:szCs w:val="22"/>
          <w:lang w:val="en-GB"/>
        </w:rPr>
        <w:t xml:space="preserve"> Zijlstra (RWS, interim chair of TG-C)</w:t>
      </w:r>
      <w:r w:rsidRPr="004A5C0F">
        <w:rPr>
          <w:rFonts w:ascii="Arial" w:eastAsia="Calibri" w:hAnsi="Arial"/>
          <w:sz w:val="22"/>
          <w:szCs w:val="22"/>
          <w:lang w:val="en-GB"/>
        </w:rPr>
        <w:t xml:space="preserve">, </w:t>
      </w:r>
      <w:proofErr w:type="spellStart"/>
      <w:r w:rsidRPr="004A5C0F">
        <w:rPr>
          <w:rFonts w:ascii="Arial" w:eastAsia="Calibri" w:hAnsi="Arial"/>
          <w:sz w:val="22"/>
          <w:szCs w:val="22"/>
          <w:lang w:val="en-GB"/>
        </w:rPr>
        <w:t>Jannes</w:t>
      </w:r>
      <w:proofErr w:type="spellEnd"/>
      <w:r w:rsidR="007136B3">
        <w:rPr>
          <w:rFonts w:ascii="Arial" w:eastAsia="Calibri" w:hAnsi="Arial"/>
          <w:sz w:val="22"/>
          <w:szCs w:val="22"/>
          <w:lang w:val="en-GB"/>
        </w:rPr>
        <w:t xml:space="preserve"> </w:t>
      </w:r>
      <w:proofErr w:type="spellStart"/>
      <w:r w:rsidR="007136B3">
        <w:rPr>
          <w:rFonts w:ascii="Arial" w:eastAsia="Calibri" w:hAnsi="Arial"/>
          <w:sz w:val="22"/>
          <w:szCs w:val="22"/>
          <w:lang w:val="en-GB"/>
        </w:rPr>
        <w:t>Fröhlich</w:t>
      </w:r>
      <w:proofErr w:type="spellEnd"/>
      <w:r w:rsidR="007136B3">
        <w:rPr>
          <w:rFonts w:ascii="Arial" w:eastAsia="Calibri" w:hAnsi="Arial"/>
          <w:sz w:val="22"/>
          <w:szCs w:val="22"/>
          <w:lang w:val="en-GB"/>
        </w:rPr>
        <w:t xml:space="preserve"> (WWF)</w:t>
      </w:r>
      <w:r w:rsidRPr="004A5C0F">
        <w:rPr>
          <w:rFonts w:ascii="Arial" w:eastAsia="Calibri" w:hAnsi="Arial"/>
          <w:sz w:val="22"/>
          <w:szCs w:val="22"/>
          <w:lang w:val="en-GB"/>
        </w:rPr>
        <w:t>, Julia</w:t>
      </w:r>
      <w:r w:rsidR="007136B3">
        <w:rPr>
          <w:rFonts w:ascii="Arial" w:eastAsia="Calibri" w:hAnsi="Arial"/>
          <w:sz w:val="22"/>
          <w:szCs w:val="22"/>
          <w:lang w:val="en-GB"/>
        </w:rPr>
        <w:t xml:space="preserve"> Busch (CWSS);</w:t>
      </w:r>
      <w:r w:rsidRPr="004A5C0F">
        <w:rPr>
          <w:rFonts w:ascii="Arial" w:eastAsia="Calibri" w:hAnsi="Arial"/>
          <w:sz w:val="22"/>
          <w:szCs w:val="22"/>
          <w:lang w:val="en-GB"/>
        </w:rPr>
        <w:t xml:space="preserve"> additional members of TG-C</w:t>
      </w:r>
      <w:r w:rsidR="007136B3">
        <w:rPr>
          <w:rFonts w:ascii="Arial" w:eastAsia="Calibri" w:hAnsi="Arial"/>
          <w:sz w:val="22"/>
          <w:szCs w:val="22"/>
          <w:lang w:val="en-GB"/>
        </w:rPr>
        <w:t xml:space="preserve"> if invited</w:t>
      </w:r>
      <w:r w:rsidR="00D379D3">
        <w:rPr>
          <w:rFonts w:ascii="Arial" w:eastAsia="Calibri" w:hAnsi="Arial"/>
          <w:sz w:val="22"/>
          <w:szCs w:val="22"/>
          <w:lang w:val="en-GB"/>
        </w:rPr>
        <w:t xml:space="preserve"> to the TGC</w:t>
      </w:r>
      <w:r w:rsidR="007136B3">
        <w:rPr>
          <w:rFonts w:ascii="Arial" w:eastAsia="Calibri" w:hAnsi="Arial"/>
          <w:sz w:val="22"/>
          <w:szCs w:val="22"/>
          <w:lang w:val="en-GB"/>
        </w:rPr>
        <w:t>.</w:t>
      </w:r>
      <w:proofErr w:type="gramEnd"/>
    </w:p>
    <w:p w:rsidR="004A5C0F" w:rsidRPr="004A5C0F" w:rsidRDefault="004A5C0F" w:rsidP="007136B3">
      <w:pPr>
        <w:spacing w:line="276" w:lineRule="auto"/>
        <w:ind w:left="426"/>
        <w:rPr>
          <w:rFonts w:ascii="Arial" w:eastAsia="Calibri" w:hAnsi="Arial"/>
          <w:b/>
          <w:sz w:val="22"/>
          <w:szCs w:val="22"/>
          <w:lang w:val="en-GB"/>
        </w:rPr>
      </w:pPr>
      <w:r w:rsidRPr="004A5C0F">
        <w:rPr>
          <w:rFonts w:ascii="Arial" w:eastAsia="Calibri" w:hAnsi="Arial"/>
          <w:b/>
          <w:sz w:val="22"/>
          <w:szCs w:val="22"/>
          <w:lang w:val="en-GB"/>
        </w:rPr>
        <w:t>Expected outcomes</w:t>
      </w:r>
    </w:p>
    <w:p w:rsidR="007136B3" w:rsidRPr="007136B3" w:rsidRDefault="007136B3" w:rsidP="007136B3">
      <w:pPr>
        <w:pStyle w:val="Listenabsatz"/>
        <w:ind w:left="851"/>
        <w:rPr>
          <w:lang w:val="en-GB"/>
        </w:rPr>
      </w:pPr>
      <w:r w:rsidRPr="007136B3">
        <w:rPr>
          <w:lang w:val="en-GB"/>
        </w:rPr>
        <w:t xml:space="preserve">trilateral </w:t>
      </w:r>
      <w:proofErr w:type="spellStart"/>
      <w:r w:rsidRPr="007136B3">
        <w:rPr>
          <w:lang w:val="en-GB"/>
        </w:rPr>
        <w:t>Wadden</w:t>
      </w:r>
      <w:proofErr w:type="spellEnd"/>
      <w:r w:rsidRPr="007136B3">
        <w:rPr>
          <w:lang w:val="en-GB"/>
        </w:rPr>
        <w:t xml:space="preserve"> Sea </w:t>
      </w:r>
      <w:r>
        <w:rPr>
          <w:lang w:val="en-GB"/>
        </w:rPr>
        <w:t>climate change adaptation strategy</w:t>
      </w:r>
      <w:r w:rsidRPr="007136B3">
        <w:rPr>
          <w:lang w:val="en-GB"/>
        </w:rPr>
        <w:t xml:space="preserve"> principles will be </w:t>
      </w:r>
      <w:r>
        <w:rPr>
          <w:lang w:val="en-GB"/>
        </w:rPr>
        <w:t>considered</w:t>
      </w:r>
      <w:r w:rsidRPr="007136B3">
        <w:rPr>
          <w:lang w:val="en-GB"/>
        </w:rPr>
        <w:t xml:space="preserve"> in current and future climate change related </w:t>
      </w:r>
      <w:proofErr w:type="spellStart"/>
      <w:r w:rsidRPr="007136B3">
        <w:rPr>
          <w:lang w:val="en-GB"/>
        </w:rPr>
        <w:t>Wad</w:t>
      </w:r>
      <w:r>
        <w:rPr>
          <w:lang w:val="en-GB"/>
        </w:rPr>
        <w:t>den</w:t>
      </w:r>
      <w:proofErr w:type="spellEnd"/>
      <w:r>
        <w:rPr>
          <w:lang w:val="en-GB"/>
        </w:rPr>
        <w:t xml:space="preserve"> Sea projects and management;</w:t>
      </w:r>
    </w:p>
    <w:p w:rsidR="007136B3" w:rsidRDefault="007136B3" w:rsidP="007136B3">
      <w:pPr>
        <w:pStyle w:val="Listenabsatz"/>
        <w:ind w:left="851"/>
        <w:rPr>
          <w:lang w:val="en-GB"/>
        </w:rPr>
      </w:pPr>
      <w:proofErr w:type="gramStart"/>
      <w:r w:rsidRPr="007136B3">
        <w:rPr>
          <w:lang w:val="en-GB"/>
        </w:rPr>
        <w:t>trilateral</w:t>
      </w:r>
      <w:proofErr w:type="gramEnd"/>
      <w:r w:rsidRPr="007136B3">
        <w:rPr>
          <w:lang w:val="en-GB"/>
        </w:rPr>
        <w:t xml:space="preserve"> exchange and collaboration in </w:t>
      </w:r>
      <w:r>
        <w:rPr>
          <w:lang w:val="en-GB"/>
        </w:rPr>
        <w:t>climate change adaptation</w:t>
      </w:r>
      <w:r w:rsidRPr="007136B3">
        <w:rPr>
          <w:lang w:val="en-GB"/>
        </w:rPr>
        <w:t xml:space="preserve"> will be strengthened</w:t>
      </w:r>
      <w:r>
        <w:rPr>
          <w:lang w:val="en-GB"/>
        </w:rPr>
        <w:t>.</w:t>
      </w:r>
      <w:r w:rsidRPr="007136B3">
        <w:rPr>
          <w:lang w:val="en-GB"/>
        </w:rPr>
        <w:t xml:space="preserve"> </w:t>
      </w:r>
    </w:p>
    <w:p w:rsidR="004A5C0F" w:rsidRPr="004A5C0F" w:rsidRDefault="004A5C0F" w:rsidP="007136B3">
      <w:pPr>
        <w:spacing w:line="276" w:lineRule="auto"/>
        <w:ind w:left="426"/>
        <w:rPr>
          <w:rFonts w:ascii="Arial" w:eastAsia="Calibri" w:hAnsi="Arial"/>
          <w:b/>
          <w:sz w:val="22"/>
          <w:szCs w:val="22"/>
          <w:lang w:val="en-GB"/>
        </w:rPr>
      </w:pPr>
      <w:r w:rsidRPr="004A5C0F">
        <w:rPr>
          <w:rFonts w:ascii="Arial" w:eastAsia="Calibri" w:hAnsi="Arial"/>
          <w:b/>
          <w:sz w:val="22"/>
          <w:szCs w:val="22"/>
          <w:lang w:val="en-GB"/>
        </w:rPr>
        <w:t>Contact</w:t>
      </w:r>
    </w:p>
    <w:p w:rsidR="004A5C0F" w:rsidRPr="004A5C0F" w:rsidRDefault="004A5C0F" w:rsidP="004A5C0F">
      <w:pPr>
        <w:spacing w:after="200" w:line="276" w:lineRule="auto"/>
        <w:ind w:left="426"/>
        <w:rPr>
          <w:rFonts w:ascii="Arial" w:eastAsia="Calibri" w:hAnsi="Arial"/>
          <w:sz w:val="22"/>
          <w:szCs w:val="22"/>
          <w:lang w:val="en-GB"/>
        </w:rPr>
      </w:pPr>
      <w:r w:rsidRPr="004A5C0F">
        <w:rPr>
          <w:rFonts w:ascii="Arial" w:eastAsia="Calibri" w:hAnsi="Arial"/>
          <w:sz w:val="22"/>
          <w:szCs w:val="22"/>
          <w:lang w:val="en-GB"/>
        </w:rPr>
        <w:t>Ms Busch: busch@waddensea-secretariat.org</w:t>
      </w:r>
    </w:p>
    <w:p w:rsidR="004A5C0F" w:rsidRPr="004A5C0F" w:rsidRDefault="004A5C0F" w:rsidP="002D19B4">
      <w:pPr>
        <w:pStyle w:val="Listenabsatz"/>
        <w:numPr>
          <w:ilvl w:val="0"/>
          <w:numId w:val="0"/>
        </w:numPr>
        <w:ind w:left="426"/>
        <w:rPr>
          <w:b/>
          <w:lang w:val="en-GB" w:eastAsia="de-DE"/>
        </w:rPr>
      </w:pPr>
    </w:p>
    <w:p w:rsidR="00670C7F" w:rsidRDefault="00670C7F" w:rsidP="002D19B4">
      <w:pPr>
        <w:pStyle w:val="Listenabsatz"/>
        <w:numPr>
          <w:ilvl w:val="0"/>
          <w:numId w:val="0"/>
        </w:numPr>
        <w:ind w:left="426"/>
        <w:rPr>
          <w:lang w:val="en-GB" w:eastAsia="de-DE"/>
        </w:rPr>
      </w:pPr>
      <w:r>
        <w:rPr>
          <w:lang w:val="en-GB" w:eastAsia="de-DE"/>
        </w:rPr>
        <w:br w:type="page"/>
      </w:r>
    </w:p>
    <w:p w:rsidR="00670C7F" w:rsidRDefault="00670C7F" w:rsidP="00670C7F">
      <w:pPr>
        <w:pStyle w:val="Listenabsatz"/>
        <w:numPr>
          <w:ilvl w:val="0"/>
          <w:numId w:val="0"/>
        </w:numPr>
        <w:ind w:left="426"/>
        <w:rPr>
          <w:b/>
          <w:lang w:val="en-GB" w:eastAsia="de-DE"/>
        </w:rPr>
      </w:pPr>
      <w:r w:rsidRPr="00670C7F">
        <w:rPr>
          <w:b/>
          <w:lang w:val="en-GB" w:eastAsia="de-DE"/>
        </w:rPr>
        <w:lastRenderedPageBreak/>
        <w:t xml:space="preserve">Annex </w:t>
      </w:r>
      <w:r>
        <w:rPr>
          <w:b/>
          <w:lang w:val="en-GB" w:eastAsia="de-DE"/>
        </w:rPr>
        <w:t>2</w:t>
      </w:r>
      <w:r w:rsidRPr="00670C7F">
        <w:rPr>
          <w:b/>
          <w:lang w:val="en-GB" w:eastAsia="de-DE"/>
        </w:rPr>
        <w:t>: Trilateral Governmental Conference – side event</w:t>
      </w:r>
      <w:r>
        <w:rPr>
          <w:b/>
          <w:lang w:val="en-GB" w:eastAsia="de-DE"/>
        </w:rPr>
        <w:t xml:space="preserve"> roll-up</w:t>
      </w:r>
      <w:r w:rsidR="00626C26">
        <w:rPr>
          <w:b/>
          <w:lang w:val="en-GB" w:eastAsia="de-DE"/>
        </w:rPr>
        <w:t xml:space="preserve"> (draft)</w:t>
      </w:r>
    </w:p>
    <w:p w:rsidR="00626C26" w:rsidRDefault="00626C26" w:rsidP="00670C7F">
      <w:pPr>
        <w:pStyle w:val="Listenabsatz"/>
        <w:numPr>
          <w:ilvl w:val="0"/>
          <w:numId w:val="0"/>
        </w:numPr>
        <w:ind w:left="426"/>
        <w:rPr>
          <w:b/>
          <w:lang w:val="en-GB" w:eastAsia="de-DE"/>
        </w:rPr>
      </w:pPr>
    </w:p>
    <w:p w:rsidR="00626C26" w:rsidRDefault="00626C26" w:rsidP="00670C7F">
      <w:pPr>
        <w:pStyle w:val="Listenabsatz"/>
        <w:numPr>
          <w:ilvl w:val="0"/>
          <w:numId w:val="0"/>
        </w:numPr>
        <w:ind w:left="426"/>
        <w:rPr>
          <w:b/>
          <w:lang w:val="en-GB" w:eastAsia="de-DE"/>
        </w:rPr>
      </w:pPr>
    </w:p>
    <w:p w:rsidR="00670C7F" w:rsidRPr="005F7622" w:rsidRDefault="00626C26" w:rsidP="005F7622">
      <w:pPr>
        <w:pStyle w:val="Listenabsatz"/>
        <w:numPr>
          <w:ilvl w:val="0"/>
          <w:numId w:val="0"/>
        </w:numPr>
        <w:ind w:left="426"/>
        <w:jc w:val="center"/>
        <w:rPr>
          <w:b/>
          <w:lang w:val="en-GB" w:eastAsia="de-DE"/>
        </w:rPr>
      </w:pPr>
      <w:r>
        <w:rPr>
          <w:noProof/>
          <w:lang w:val="en-GB" w:eastAsia="en-GB"/>
        </w:rPr>
        <w:drawing>
          <wp:inline distT="0" distB="0" distL="0" distR="0" wp14:anchorId="7B435D50" wp14:editId="625FAD76">
            <wp:extent cx="3390900" cy="79914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0C7F" w:rsidRPr="005F7622" w:rsidSect="000E556E">
      <w:headerReference w:type="default" r:id="rId12"/>
      <w:pgSz w:w="11907" w:h="16840" w:code="9"/>
      <w:pgMar w:top="1440" w:right="1797" w:bottom="1440" w:left="179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903" w:rsidRDefault="00917903">
      <w:r>
        <w:separator/>
      </w:r>
    </w:p>
  </w:endnote>
  <w:endnote w:type="continuationSeparator" w:id="0">
    <w:p w:rsidR="00917903" w:rsidRDefault="00917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903" w:rsidRDefault="00917903">
      <w:r>
        <w:separator/>
      </w:r>
    </w:p>
  </w:footnote>
  <w:footnote w:type="continuationSeparator" w:id="0">
    <w:p w:rsidR="00917903" w:rsidRDefault="00917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8E5954" w:rsidP="001C042F">
    <w:pPr>
      <w:pStyle w:val="Kopf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="001C042F" w:rsidRPr="001C042F">
      <w:rPr>
        <w:rFonts w:ascii="Arial" w:hAnsi="Arial" w:cs="Arial"/>
        <w:sz w:val="20"/>
        <w:szCs w:val="20"/>
      </w:rPr>
      <w:t xml:space="preserve"> </w:t>
    </w:r>
    <w:r w:rsidR="00CB0F49">
      <w:rPr>
        <w:rFonts w:ascii="Arial" w:hAnsi="Arial" w:cs="Arial"/>
        <w:sz w:val="20"/>
        <w:szCs w:val="20"/>
      </w:rPr>
      <w:t>2</w:t>
    </w:r>
    <w:r w:rsidR="003D73AC">
      <w:rPr>
        <w:rFonts w:ascii="Arial" w:hAnsi="Arial" w:cs="Arial"/>
        <w:sz w:val="20"/>
        <w:szCs w:val="20"/>
      </w:rPr>
      <w:t>4</w:t>
    </w:r>
    <w:r w:rsidR="00493DAA">
      <w:rPr>
        <w:rFonts w:ascii="Arial" w:hAnsi="Arial" w:cs="Arial"/>
        <w:sz w:val="20"/>
        <w:szCs w:val="20"/>
      </w:rPr>
      <w:t>/</w:t>
    </w:r>
    <w:r w:rsidR="000E556E">
      <w:rPr>
        <w:rFonts w:ascii="Arial" w:hAnsi="Arial" w:cs="Arial"/>
        <w:sz w:val="20"/>
        <w:szCs w:val="20"/>
      </w:rPr>
      <w:t>5.4</w:t>
    </w:r>
    <w:r w:rsidR="00246E68">
      <w:rPr>
        <w:rFonts w:ascii="Arial" w:hAnsi="Arial" w:cs="Arial"/>
        <w:sz w:val="20"/>
        <w:szCs w:val="20"/>
      </w:rPr>
      <w:t>/</w:t>
    </w:r>
    <w:r w:rsidR="000E556E">
      <w:rPr>
        <w:rFonts w:ascii="Arial" w:hAnsi="Arial" w:cs="Arial"/>
        <w:sz w:val="20"/>
        <w:szCs w:val="20"/>
      </w:rPr>
      <w:t>1:</w:t>
    </w:r>
    <w:r w:rsidR="00493DAA" w:rsidRPr="00493DAA">
      <w:rPr>
        <w:rFonts w:ascii="Arial" w:hAnsi="Arial" w:cs="Arial"/>
        <w:sz w:val="20"/>
        <w:szCs w:val="20"/>
      </w:rPr>
      <w:t xml:space="preserve"> TG-C Progress Report</w:t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0E556E">
      <w:rPr>
        <w:rFonts w:ascii="Arial" w:hAnsi="Arial" w:cs="Arial"/>
        <w:sz w:val="20"/>
        <w:szCs w:val="20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634BE2">
      <w:rPr>
        <w:rFonts w:ascii="Arial" w:hAnsi="Arial" w:cs="Arial"/>
        <w:noProof/>
        <w:sz w:val="20"/>
        <w:szCs w:val="20"/>
      </w:rPr>
      <w:t>3</w:t>
    </w:r>
    <w:r w:rsidR="001C042F" w:rsidRPr="001C042F">
      <w:rPr>
        <w:rFonts w:ascii="Arial" w:hAnsi="Arial" w:cs="Arial"/>
        <w:sz w:val="20"/>
        <w:szCs w:val="20"/>
      </w:rPr>
      <w:fldChar w:fldCharType="end"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</w:p>
  <w:p w:rsidR="001C042F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74765"/>
    <w:multiLevelType w:val="hybridMultilevel"/>
    <w:tmpl w:val="32204628"/>
    <w:lvl w:ilvl="0" w:tplc="73EA462A">
      <w:start w:val="20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9">
    <w:nsid w:val="52501C3F"/>
    <w:multiLevelType w:val="hybridMultilevel"/>
    <w:tmpl w:val="4A588CC2"/>
    <w:lvl w:ilvl="0" w:tplc="89E803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5F1ADE"/>
    <w:multiLevelType w:val="hybridMultilevel"/>
    <w:tmpl w:val="176E4F4C"/>
    <w:lvl w:ilvl="0" w:tplc="80D29DCC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9D752B"/>
    <w:multiLevelType w:val="hybridMultilevel"/>
    <w:tmpl w:val="A880D5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6795E07"/>
    <w:multiLevelType w:val="hybridMultilevel"/>
    <w:tmpl w:val="62F02944"/>
    <w:lvl w:ilvl="0" w:tplc="0368FC0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5"/>
  </w:num>
  <w:num w:numId="5">
    <w:abstractNumId w:val="18"/>
  </w:num>
  <w:num w:numId="6">
    <w:abstractNumId w:val="0"/>
  </w:num>
  <w:num w:numId="7">
    <w:abstractNumId w:val="15"/>
  </w:num>
  <w:num w:numId="8">
    <w:abstractNumId w:val="17"/>
  </w:num>
  <w:num w:numId="9">
    <w:abstractNumId w:val="8"/>
  </w:num>
  <w:num w:numId="10">
    <w:abstractNumId w:val="7"/>
  </w:num>
  <w:num w:numId="11">
    <w:abstractNumId w:val="20"/>
  </w:num>
  <w:num w:numId="12">
    <w:abstractNumId w:val="3"/>
  </w:num>
  <w:num w:numId="13">
    <w:abstractNumId w:val="22"/>
  </w:num>
  <w:num w:numId="14">
    <w:abstractNumId w:val="1"/>
  </w:num>
  <w:num w:numId="15">
    <w:abstractNumId w:val="12"/>
  </w:num>
  <w:num w:numId="16">
    <w:abstractNumId w:val="21"/>
  </w:num>
  <w:num w:numId="17">
    <w:abstractNumId w:val="2"/>
  </w:num>
  <w:num w:numId="18">
    <w:abstractNumId w:val="10"/>
  </w:num>
  <w:num w:numId="19">
    <w:abstractNumId w:val="13"/>
  </w:num>
  <w:num w:numId="20">
    <w:abstractNumId w:val="6"/>
  </w:num>
  <w:num w:numId="21">
    <w:abstractNumId w:val="9"/>
  </w:num>
  <w:num w:numId="22">
    <w:abstractNumId w:val="14"/>
  </w:num>
  <w:num w:numId="23">
    <w:abstractNumId w:val="19"/>
  </w:num>
  <w:num w:numId="24">
    <w:abstractNumId w:val="16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4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233C"/>
    <w:rsid w:val="00044B5D"/>
    <w:rsid w:val="00045600"/>
    <w:rsid w:val="00051122"/>
    <w:rsid w:val="00063107"/>
    <w:rsid w:val="00066FC4"/>
    <w:rsid w:val="000701AF"/>
    <w:rsid w:val="00075502"/>
    <w:rsid w:val="00077701"/>
    <w:rsid w:val="00084004"/>
    <w:rsid w:val="000A1E6D"/>
    <w:rsid w:val="000B051E"/>
    <w:rsid w:val="000B62EE"/>
    <w:rsid w:val="000C379B"/>
    <w:rsid w:val="000D1CD5"/>
    <w:rsid w:val="000D4AA1"/>
    <w:rsid w:val="000E250B"/>
    <w:rsid w:val="000E286C"/>
    <w:rsid w:val="000E556E"/>
    <w:rsid w:val="000E7117"/>
    <w:rsid w:val="000F0E64"/>
    <w:rsid w:val="000F37B1"/>
    <w:rsid w:val="00127E0A"/>
    <w:rsid w:val="00147A4E"/>
    <w:rsid w:val="001716B9"/>
    <w:rsid w:val="0017526A"/>
    <w:rsid w:val="001760DD"/>
    <w:rsid w:val="00193121"/>
    <w:rsid w:val="001B4BDE"/>
    <w:rsid w:val="001B785E"/>
    <w:rsid w:val="001C042F"/>
    <w:rsid w:val="001F1ACB"/>
    <w:rsid w:val="002054A8"/>
    <w:rsid w:val="002108D8"/>
    <w:rsid w:val="00212819"/>
    <w:rsid w:val="002160AA"/>
    <w:rsid w:val="00227E91"/>
    <w:rsid w:val="00241433"/>
    <w:rsid w:val="00242A26"/>
    <w:rsid w:val="00246E68"/>
    <w:rsid w:val="00252FED"/>
    <w:rsid w:val="00254860"/>
    <w:rsid w:val="002A6524"/>
    <w:rsid w:val="002C3B3E"/>
    <w:rsid w:val="002D19B4"/>
    <w:rsid w:val="002D7C58"/>
    <w:rsid w:val="002D7DF5"/>
    <w:rsid w:val="002F4849"/>
    <w:rsid w:val="003148C6"/>
    <w:rsid w:val="0032417C"/>
    <w:rsid w:val="00333535"/>
    <w:rsid w:val="00336615"/>
    <w:rsid w:val="00340678"/>
    <w:rsid w:val="003407E3"/>
    <w:rsid w:val="00342BBA"/>
    <w:rsid w:val="0034487F"/>
    <w:rsid w:val="0035006B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D73AC"/>
    <w:rsid w:val="003E6517"/>
    <w:rsid w:val="003E673D"/>
    <w:rsid w:val="003E7000"/>
    <w:rsid w:val="003E71DC"/>
    <w:rsid w:val="003F3217"/>
    <w:rsid w:val="0041392A"/>
    <w:rsid w:val="0041642B"/>
    <w:rsid w:val="004634D9"/>
    <w:rsid w:val="00464803"/>
    <w:rsid w:val="0047073F"/>
    <w:rsid w:val="00473646"/>
    <w:rsid w:val="0048039B"/>
    <w:rsid w:val="004811CF"/>
    <w:rsid w:val="00493DAA"/>
    <w:rsid w:val="0049559C"/>
    <w:rsid w:val="004A5C0F"/>
    <w:rsid w:val="004B18F8"/>
    <w:rsid w:val="004F7255"/>
    <w:rsid w:val="0052327A"/>
    <w:rsid w:val="00523334"/>
    <w:rsid w:val="005507A2"/>
    <w:rsid w:val="0055335E"/>
    <w:rsid w:val="0056381D"/>
    <w:rsid w:val="00566883"/>
    <w:rsid w:val="005679A2"/>
    <w:rsid w:val="00583932"/>
    <w:rsid w:val="005915E0"/>
    <w:rsid w:val="0059757A"/>
    <w:rsid w:val="005A17D3"/>
    <w:rsid w:val="005B1554"/>
    <w:rsid w:val="005C366D"/>
    <w:rsid w:val="005C4D1E"/>
    <w:rsid w:val="005F18A8"/>
    <w:rsid w:val="005F2743"/>
    <w:rsid w:val="005F586A"/>
    <w:rsid w:val="005F7622"/>
    <w:rsid w:val="00615200"/>
    <w:rsid w:val="006264FF"/>
    <w:rsid w:val="00626C26"/>
    <w:rsid w:val="00634BE2"/>
    <w:rsid w:val="006363AB"/>
    <w:rsid w:val="006444C3"/>
    <w:rsid w:val="00646DAB"/>
    <w:rsid w:val="00650ABF"/>
    <w:rsid w:val="00670C7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E3320"/>
    <w:rsid w:val="006E62EF"/>
    <w:rsid w:val="006F57CB"/>
    <w:rsid w:val="007019FC"/>
    <w:rsid w:val="00704B5F"/>
    <w:rsid w:val="00705336"/>
    <w:rsid w:val="007136B3"/>
    <w:rsid w:val="0071598A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501F"/>
    <w:rsid w:val="007C7BD3"/>
    <w:rsid w:val="007D5514"/>
    <w:rsid w:val="007E2E72"/>
    <w:rsid w:val="008220BC"/>
    <w:rsid w:val="008236A8"/>
    <w:rsid w:val="00824914"/>
    <w:rsid w:val="00840BD4"/>
    <w:rsid w:val="00853159"/>
    <w:rsid w:val="00872F48"/>
    <w:rsid w:val="008965D1"/>
    <w:rsid w:val="008A01BE"/>
    <w:rsid w:val="008B6DC3"/>
    <w:rsid w:val="008C1B3E"/>
    <w:rsid w:val="008C1C3A"/>
    <w:rsid w:val="008C5C75"/>
    <w:rsid w:val="008D07C9"/>
    <w:rsid w:val="008D5BC5"/>
    <w:rsid w:val="008D7682"/>
    <w:rsid w:val="008E5954"/>
    <w:rsid w:val="008F135B"/>
    <w:rsid w:val="008F7716"/>
    <w:rsid w:val="00911BD5"/>
    <w:rsid w:val="009128C7"/>
    <w:rsid w:val="00915CB8"/>
    <w:rsid w:val="00917903"/>
    <w:rsid w:val="00925EF4"/>
    <w:rsid w:val="00940DF9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B6260"/>
    <w:rsid w:val="009D01E2"/>
    <w:rsid w:val="009D105B"/>
    <w:rsid w:val="009D2099"/>
    <w:rsid w:val="009D6A3D"/>
    <w:rsid w:val="009E6684"/>
    <w:rsid w:val="009E7C2C"/>
    <w:rsid w:val="009F331C"/>
    <w:rsid w:val="00A1036A"/>
    <w:rsid w:val="00A12765"/>
    <w:rsid w:val="00A13D27"/>
    <w:rsid w:val="00A20BC6"/>
    <w:rsid w:val="00A354C4"/>
    <w:rsid w:val="00A43B2A"/>
    <w:rsid w:val="00A47D81"/>
    <w:rsid w:val="00A53482"/>
    <w:rsid w:val="00A80F47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15340"/>
    <w:rsid w:val="00C23468"/>
    <w:rsid w:val="00C25297"/>
    <w:rsid w:val="00C51AD8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B0F49"/>
    <w:rsid w:val="00CD0E99"/>
    <w:rsid w:val="00CE4943"/>
    <w:rsid w:val="00D02CC2"/>
    <w:rsid w:val="00D045F6"/>
    <w:rsid w:val="00D04A2E"/>
    <w:rsid w:val="00D10487"/>
    <w:rsid w:val="00D20332"/>
    <w:rsid w:val="00D2621E"/>
    <w:rsid w:val="00D379D3"/>
    <w:rsid w:val="00D37A59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05DFD"/>
    <w:rsid w:val="00E066A0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F016F6"/>
    <w:rsid w:val="00F05116"/>
    <w:rsid w:val="00F1013F"/>
    <w:rsid w:val="00F31AE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D19B4"/>
    <w:pPr>
      <w:numPr>
        <w:numId w:val="22"/>
      </w:numPr>
      <w:spacing w:after="200" w:line="276" w:lineRule="auto"/>
      <w:ind w:left="426" w:hanging="284"/>
      <w:contextualSpacing/>
    </w:pPr>
    <w:rPr>
      <w:rFonts w:ascii="Arial" w:eastAsiaTheme="minorHAnsi" w:hAnsi="Arial" w:cs="Arial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D19B4"/>
    <w:pPr>
      <w:numPr>
        <w:numId w:val="22"/>
      </w:numPr>
      <w:spacing w:after="200" w:line="276" w:lineRule="auto"/>
      <w:ind w:left="426" w:hanging="284"/>
      <w:contextualSpacing/>
    </w:pPr>
    <w:rPr>
      <w:rFonts w:ascii="Arial" w:eastAsiaTheme="minorHAnsi" w:hAnsi="Arial" w:cs="Arial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9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://www.northsearegion.eu/building-with-nature/news/working-together-for-climate-change-adaptation-in-the-north-sea-region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6C5F8-3070-4C62-A399-C4631D0F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732</Words>
  <Characters>4555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CWSS</Company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JB</cp:lastModifiedBy>
  <cp:revision>17</cp:revision>
  <cp:lastPrinted>2017-10-26T13:45:00Z</cp:lastPrinted>
  <dcterms:created xsi:type="dcterms:W3CDTF">2018-03-27T13:07:00Z</dcterms:created>
  <dcterms:modified xsi:type="dcterms:W3CDTF">2018-04-05T20:45:00Z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