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DC0E" w14:textId="77777777" w:rsidR="00067A49" w:rsidRPr="00884A64" w:rsidRDefault="00067A49" w:rsidP="00067A49">
      <w:pPr>
        <w:spacing w:line="360" w:lineRule="auto"/>
        <w:jc w:val="center"/>
        <w:rPr>
          <w:sz w:val="20"/>
          <w:szCs w:val="20"/>
          <w:lang w:val="en-GB"/>
        </w:rPr>
      </w:pPr>
      <w:r w:rsidRPr="00884A64">
        <w:rPr>
          <w:noProof/>
          <w:sz w:val="20"/>
          <w:szCs w:val="20"/>
          <w:lang w:val="da-DK" w:eastAsia="da-DK"/>
        </w:rPr>
        <mc:AlternateContent>
          <mc:Choice Requires="wps">
            <w:drawing>
              <wp:anchor distT="0" distB="0" distL="114300" distR="114300" simplePos="0" relativeHeight="251659264" behindDoc="0" locked="0" layoutInCell="1" allowOverlap="1" wp14:anchorId="38C0B353" wp14:editId="53AC470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1F532E5" w14:textId="77777777"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28</w:t>
                            </w:r>
                          </w:p>
                          <w:p w14:paraId="26AE4E70" w14:textId="77777777" w:rsidR="00067A49" w:rsidRPr="00884A64" w:rsidRDefault="00067A49" w:rsidP="00067A49">
                            <w:pPr>
                              <w:jc w:val="center"/>
                              <w:rPr>
                                <w:bCs/>
                                <w:sz w:val="22"/>
                                <w:lang w:val="en-GB"/>
                              </w:rPr>
                            </w:pPr>
                            <w:r>
                              <w:rPr>
                                <w:bCs/>
                                <w:sz w:val="22"/>
                                <w:lang w:val="en-GB"/>
                              </w:rPr>
                              <w:t>14 March</w:t>
                            </w:r>
                            <w:r w:rsidRPr="00884A64">
                              <w:rPr>
                                <w:bCs/>
                                <w:sz w:val="22"/>
                                <w:lang w:val="en-GB"/>
                              </w:rPr>
                              <w:t xml:space="preserve"> 201</w:t>
                            </w:r>
                            <w:r>
                              <w:rPr>
                                <w:bCs/>
                                <w:sz w:val="22"/>
                                <w:lang w:val="en-GB"/>
                              </w:rPr>
                              <w:t>9</w:t>
                            </w:r>
                          </w:p>
                          <w:p w14:paraId="0803F0F6" w14:textId="77777777" w:rsidR="00067A49" w:rsidRPr="00884A64" w:rsidRDefault="00067A49" w:rsidP="00067A49">
                            <w:pPr>
                              <w:jc w:val="center"/>
                              <w:rPr>
                                <w:bCs/>
                                <w:sz w:val="22"/>
                                <w:lang w:val="en-GB"/>
                              </w:rPr>
                            </w:pPr>
                            <w:r>
                              <w:rPr>
                                <w:bCs/>
                                <w:sz w:val="22"/>
                                <w:lang w:val="en-GB"/>
                              </w:rPr>
                              <w:t>Berlin</w:t>
                            </w:r>
                            <w:r w:rsidRPr="00884A64">
                              <w:rPr>
                                <w:bCs/>
                                <w:sz w:val="22"/>
                                <w:lang w:val="en-GB"/>
                              </w:rPr>
                              <w:t xml:space="preserve">, </w:t>
                            </w:r>
                            <w:r>
                              <w:rPr>
                                <w:bCs/>
                                <w:sz w:val="22"/>
                                <w:lang w:val="en-GB"/>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0B353"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1F532E5" w14:textId="77777777"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28</w:t>
                      </w:r>
                    </w:p>
                    <w:p w14:paraId="26AE4E70" w14:textId="77777777" w:rsidR="00067A49" w:rsidRPr="00884A64" w:rsidRDefault="00067A49" w:rsidP="00067A49">
                      <w:pPr>
                        <w:jc w:val="center"/>
                        <w:rPr>
                          <w:bCs/>
                          <w:sz w:val="22"/>
                          <w:lang w:val="en-GB"/>
                        </w:rPr>
                      </w:pPr>
                      <w:r>
                        <w:rPr>
                          <w:bCs/>
                          <w:sz w:val="22"/>
                          <w:lang w:val="en-GB"/>
                        </w:rPr>
                        <w:t>14 March</w:t>
                      </w:r>
                      <w:r w:rsidRPr="00884A64">
                        <w:rPr>
                          <w:bCs/>
                          <w:sz w:val="22"/>
                          <w:lang w:val="en-GB"/>
                        </w:rPr>
                        <w:t xml:space="preserve"> 201</w:t>
                      </w:r>
                      <w:r>
                        <w:rPr>
                          <w:bCs/>
                          <w:sz w:val="22"/>
                          <w:lang w:val="en-GB"/>
                        </w:rPr>
                        <w:t>9</w:t>
                      </w:r>
                    </w:p>
                    <w:p w14:paraId="0803F0F6" w14:textId="77777777" w:rsidR="00067A49" w:rsidRPr="00884A64" w:rsidRDefault="00067A49" w:rsidP="00067A49">
                      <w:pPr>
                        <w:jc w:val="center"/>
                        <w:rPr>
                          <w:bCs/>
                          <w:sz w:val="22"/>
                          <w:lang w:val="en-GB"/>
                        </w:rPr>
                      </w:pPr>
                      <w:r>
                        <w:rPr>
                          <w:bCs/>
                          <w:sz w:val="22"/>
                          <w:lang w:val="en-GB"/>
                        </w:rPr>
                        <w:t>Berlin</w:t>
                      </w:r>
                      <w:r w:rsidRPr="00884A64">
                        <w:rPr>
                          <w:bCs/>
                          <w:sz w:val="22"/>
                          <w:lang w:val="en-GB"/>
                        </w:rPr>
                        <w:t xml:space="preserve">, </w:t>
                      </w:r>
                      <w:r>
                        <w:rPr>
                          <w:bCs/>
                          <w:sz w:val="22"/>
                          <w:lang w:val="en-GB"/>
                        </w:rPr>
                        <w:t>Germany</w:t>
                      </w:r>
                    </w:p>
                  </w:txbxContent>
                </v:textbox>
              </v:shape>
            </w:pict>
          </mc:Fallback>
        </mc:AlternateContent>
      </w:r>
      <w:r w:rsidRPr="00884A64">
        <w:rPr>
          <w:noProof/>
          <w:sz w:val="20"/>
          <w:szCs w:val="20"/>
          <w:lang w:val="da-DK" w:eastAsia="da-DK"/>
        </w:rPr>
        <w:drawing>
          <wp:anchor distT="0" distB="0" distL="114300" distR="114300" simplePos="0" relativeHeight="251660288" behindDoc="1" locked="0" layoutInCell="1" allowOverlap="1" wp14:anchorId="132DA326" wp14:editId="58D8A6D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C9CBDBB" w14:textId="77777777" w:rsidR="00067A49" w:rsidRPr="00884A64" w:rsidRDefault="00067A49" w:rsidP="00067A49">
      <w:pPr>
        <w:jc w:val="center"/>
        <w:rPr>
          <w:b/>
          <w:bCs/>
          <w:sz w:val="20"/>
          <w:szCs w:val="20"/>
          <w:lang w:val="en-GB"/>
        </w:rPr>
      </w:pPr>
      <w:r w:rsidRPr="00884A64">
        <w:rPr>
          <w:b/>
          <w:bCs/>
          <w:sz w:val="20"/>
          <w:szCs w:val="20"/>
          <w:lang w:val="en-GB"/>
        </w:rPr>
        <w:t xml:space="preserve"> </w:t>
      </w:r>
    </w:p>
    <w:p w14:paraId="04279511" w14:textId="77777777" w:rsidR="00067A49" w:rsidRPr="00884A64" w:rsidRDefault="00067A49" w:rsidP="00067A49">
      <w:pPr>
        <w:rPr>
          <w:sz w:val="20"/>
          <w:szCs w:val="20"/>
          <w:lang w:val="en-GB"/>
        </w:rPr>
      </w:pPr>
    </w:p>
    <w:p w14:paraId="7D8E5063" w14:textId="77777777" w:rsidR="00067A49" w:rsidRPr="00884A64" w:rsidRDefault="00067A49" w:rsidP="00067A49">
      <w:pPr>
        <w:jc w:val="center"/>
        <w:rPr>
          <w:b/>
          <w:bCs/>
          <w:sz w:val="20"/>
          <w:szCs w:val="20"/>
          <w:lang w:val="en-GB"/>
        </w:rPr>
      </w:pPr>
    </w:p>
    <w:p w14:paraId="57AEF467" w14:textId="77777777" w:rsidR="00067A49" w:rsidRPr="00884A64" w:rsidRDefault="00067A49" w:rsidP="00067A49">
      <w:pPr>
        <w:spacing w:after="120" w:line="276" w:lineRule="auto"/>
        <w:rPr>
          <w:sz w:val="20"/>
          <w:szCs w:val="20"/>
          <w:lang w:val="en-GB"/>
        </w:rPr>
      </w:pPr>
    </w:p>
    <w:p w14:paraId="6DE2F8CB" w14:textId="77777777" w:rsidR="00067A49" w:rsidRPr="00884A64" w:rsidRDefault="00067A49" w:rsidP="00067A49">
      <w:pPr>
        <w:spacing w:after="120" w:line="276" w:lineRule="auto"/>
        <w:jc w:val="center"/>
        <w:rPr>
          <w:sz w:val="20"/>
          <w:szCs w:val="20"/>
          <w:lang w:val="en-GB"/>
        </w:rPr>
      </w:pPr>
    </w:p>
    <w:p w14:paraId="376F7ABC" w14:textId="77777777" w:rsidR="00067A49" w:rsidRDefault="00067A49" w:rsidP="00067A49">
      <w:pPr>
        <w:pBdr>
          <w:bottom w:val="single" w:sz="6" w:space="1" w:color="auto"/>
        </w:pBdr>
        <w:spacing w:after="120" w:line="276" w:lineRule="auto"/>
        <w:rPr>
          <w:sz w:val="20"/>
          <w:szCs w:val="20"/>
          <w:lang w:val="en-GB"/>
        </w:rPr>
      </w:pPr>
    </w:p>
    <w:p w14:paraId="4AC442DB" w14:textId="77777777" w:rsidR="00067A49" w:rsidRPr="00884A64" w:rsidRDefault="00067A49" w:rsidP="00067A49">
      <w:pPr>
        <w:pBdr>
          <w:bottom w:val="single" w:sz="6" w:space="1" w:color="auto"/>
        </w:pBdr>
        <w:spacing w:after="120" w:line="276" w:lineRule="auto"/>
        <w:rPr>
          <w:sz w:val="20"/>
          <w:szCs w:val="20"/>
          <w:lang w:val="en-GB"/>
        </w:rPr>
      </w:pPr>
    </w:p>
    <w:p w14:paraId="6645AD1D"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Agenda Item:</w:t>
      </w:r>
      <w:r w:rsidRPr="00882BE6">
        <w:rPr>
          <w:b/>
          <w:sz w:val="22"/>
          <w:szCs w:val="22"/>
          <w:lang w:val="en-GB"/>
        </w:rPr>
        <w:tab/>
      </w:r>
      <w:r w:rsidRPr="00882BE6">
        <w:rPr>
          <w:b/>
          <w:sz w:val="22"/>
          <w:szCs w:val="22"/>
        </w:rPr>
        <w:t>5.2 Nature conservation and integrated ecosystem management</w:t>
      </w:r>
    </w:p>
    <w:p w14:paraId="1A0F1E69"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Subject:</w:t>
      </w:r>
      <w:r w:rsidRPr="00882BE6">
        <w:rPr>
          <w:b/>
          <w:sz w:val="22"/>
          <w:szCs w:val="22"/>
          <w:lang w:val="en-GB"/>
        </w:rPr>
        <w:tab/>
        <w:t>Report TG-MM</w:t>
      </w:r>
    </w:p>
    <w:p w14:paraId="510E52B3"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Document No.:</w:t>
      </w:r>
      <w:r w:rsidRPr="00882BE6">
        <w:rPr>
          <w:b/>
          <w:sz w:val="22"/>
          <w:szCs w:val="22"/>
          <w:lang w:val="en-GB"/>
        </w:rPr>
        <w:tab/>
        <w:t>WSB 2</w:t>
      </w:r>
      <w:r>
        <w:rPr>
          <w:b/>
          <w:sz w:val="22"/>
          <w:szCs w:val="22"/>
          <w:lang w:val="en-GB"/>
        </w:rPr>
        <w:t>8</w:t>
      </w:r>
      <w:r w:rsidRPr="00882BE6">
        <w:rPr>
          <w:b/>
          <w:sz w:val="22"/>
          <w:szCs w:val="22"/>
          <w:lang w:val="en-GB"/>
        </w:rPr>
        <w:t>/5.2/1</w:t>
      </w:r>
    </w:p>
    <w:p w14:paraId="2D876B7B" w14:textId="58CB310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Date:</w:t>
      </w:r>
      <w:r w:rsidRPr="00882BE6">
        <w:rPr>
          <w:b/>
          <w:sz w:val="22"/>
          <w:szCs w:val="22"/>
          <w:lang w:val="en-GB"/>
        </w:rPr>
        <w:tab/>
      </w:r>
      <w:r w:rsidR="00936B52">
        <w:rPr>
          <w:b/>
          <w:sz w:val="22"/>
          <w:szCs w:val="22"/>
          <w:lang w:val="en-GB"/>
        </w:rPr>
        <w:t>2</w:t>
      </w:r>
      <w:r w:rsidR="00313306">
        <w:rPr>
          <w:b/>
          <w:sz w:val="22"/>
          <w:szCs w:val="22"/>
          <w:lang w:val="en-GB"/>
        </w:rPr>
        <w:t>8</w:t>
      </w:r>
      <w:r w:rsidRPr="00882BE6">
        <w:rPr>
          <w:b/>
          <w:sz w:val="22"/>
          <w:szCs w:val="22"/>
          <w:lang w:val="en-GB"/>
        </w:rPr>
        <w:t xml:space="preserve"> </w:t>
      </w:r>
      <w:r>
        <w:rPr>
          <w:b/>
          <w:sz w:val="22"/>
          <w:szCs w:val="22"/>
          <w:lang w:val="en-GB"/>
        </w:rPr>
        <w:t>February</w:t>
      </w:r>
      <w:r w:rsidRPr="00882BE6">
        <w:rPr>
          <w:b/>
          <w:sz w:val="22"/>
          <w:szCs w:val="22"/>
          <w:lang w:val="en-GB"/>
        </w:rPr>
        <w:t xml:space="preserve"> </w:t>
      </w:r>
      <w:r>
        <w:rPr>
          <w:b/>
          <w:sz w:val="22"/>
          <w:szCs w:val="22"/>
          <w:lang w:val="en-GB"/>
        </w:rPr>
        <w:t>19</w:t>
      </w:r>
    </w:p>
    <w:p w14:paraId="3F3307FA" w14:textId="551EA690" w:rsidR="00067A49" w:rsidRPr="00882BE6" w:rsidRDefault="00067A49" w:rsidP="00067A49">
      <w:pPr>
        <w:pBdr>
          <w:bottom w:val="single" w:sz="6" w:space="1" w:color="auto"/>
        </w:pBdr>
        <w:tabs>
          <w:tab w:val="left" w:pos="0"/>
        </w:tabs>
        <w:spacing w:after="120" w:line="276" w:lineRule="auto"/>
        <w:rPr>
          <w:b/>
          <w:sz w:val="22"/>
          <w:szCs w:val="22"/>
          <w:lang w:val="en-GB"/>
        </w:rPr>
      </w:pPr>
      <w:r w:rsidRPr="00882BE6">
        <w:rPr>
          <w:b/>
          <w:sz w:val="22"/>
          <w:szCs w:val="22"/>
          <w:lang w:val="en-GB"/>
        </w:rPr>
        <w:t xml:space="preserve">Submitted </w:t>
      </w:r>
      <w:proofErr w:type="gramStart"/>
      <w:r w:rsidRPr="00882BE6">
        <w:rPr>
          <w:b/>
          <w:sz w:val="22"/>
          <w:szCs w:val="22"/>
          <w:lang w:val="en-GB"/>
        </w:rPr>
        <w:t>by:</w:t>
      </w:r>
      <w:proofErr w:type="gramEnd"/>
      <w:r w:rsidRPr="00882BE6">
        <w:rPr>
          <w:b/>
          <w:sz w:val="22"/>
          <w:szCs w:val="22"/>
          <w:lang w:val="en-GB"/>
        </w:rPr>
        <w:tab/>
      </w:r>
      <w:r w:rsidRPr="00882BE6">
        <w:rPr>
          <w:b/>
          <w:sz w:val="22"/>
          <w:szCs w:val="22"/>
          <w:lang w:val="en-GB"/>
        </w:rPr>
        <w:tab/>
        <w:t>TG-MM</w:t>
      </w:r>
    </w:p>
    <w:p w14:paraId="23C5E7CD" w14:textId="77777777" w:rsidR="00067A49" w:rsidRDefault="00067A49" w:rsidP="00067A49">
      <w:pPr>
        <w:pStyle w:val="Kopfzeile"/>
        <w:tabs>
          <w:tab w:val="clear" w:pos="4703"/>
          <w:tab w:val="clear" w:pos="9406"/>
        </w:tabs>
        <w:spacing w:after="120" w:line="276" w:lineRule="auto"/>
        <w:rPr>
          <w:sz w:val="22"/>
          <w:szCs w:val="22"/>
          <w:lang w:val="en-GB" w:eastAsia="de-DE"/>
        </w:rPr>
      </w:pPr>
    </w:p>
    <w:p w14:paraId="7A5A5F1D" w14:textId="77777777" w:rsidR="00067A49" w:rsidRDefault="00067A49" w:rsidP="00067A49">
      <w:pPr>
        <w:pStyle w:val="Kopfzeile"/>
        <w:spacing w:after="120" w:line="276" w:lineRule="auto"/>
        <w:rPr>
          <w:sz w:val="22"/>
          <w:szCs w:val="22"/>
        </w:rPr>
      </w:pPr>
      <w:r w:rsidRPr="005D492B">
        <w:rPr>
          <w:sz w:val="22"/>
          <w:szCs w:val="22"/>
          <w:lang w:val="en-GB" w:eastAsia="de-DE"/>
        </w:rPr>
        <w:t xml:space="preserve">Attached is a progress report </w:t>
      </w:r>
      <w:r>
        <w:rPr>
          <w:sz w:val="22"/>
          <w:szCs w:val="22"/>
          <w:lang w:val="en-GB" w:eastAsia="de-DE"/>
        </w:rPr>
        <w:t>of</w:t>
      </w:r>
      <w:r w:rsidRPr="005D492B">
        <w:rPr>
          <w:sz w:val="22"/>
          <w:szCs w:val="22"/>
          <w:lang w:val="en-GB" w:eastAsia="de-DE"/>
        </w:rPr>
        <w:t xml:space="preserve"> the Task Group Management and Monitoring (TG-MM)</w:t>
      </w:r>
      <w:r>
        <w:rPr>
          <w:sz w:val="22"/>
          <w:szCs w:val="22"/>
          <w:lang w:val="en-GB" w:eastAsia="de-DE"/>
        </w:rPr>
        <w:t>.</w:t>
      </w:r>
      <w:r w:rsidRPr="005D492B">
        <w:rPr>
          <w:sz w:val="22"/>
          <w:szCs w:val="22"/>
          <w:lang w:val="en-GB" w:eastAsia="de-DE"/>
        </w:rPr>
        <w:t xml:space="preserve"> </w:t>
      </w:r>
      <w:r w:rsidRPr="005D492B">
        <w:rPr>
          <w:sz w:val="22"/>
          <w:szCs w:val="22"/>
        </w:rPr>
        <w:t>TG-MM</w:t>
      </w:r>
      <w:r>
        <w:rPr>
          <w:sz w:val="22"/>
          <w:szCs w:val="22"/>
        </w:rPr>
        <w:t xml:space="preserve"> 2</w:t>
      </w:r>
      <w:r w:rsidR="00FD5F46">
        <w:rPr>
          <w:sz w:val="22"/>
          <w:szCs w:val="22"/>
        </w:rPr>
        <w:t>3</w:t>
      </w:r>
      <w:r>
        <w:rPr>
          <w:sz w:val="22"/>
          <w:szCs w:val="22"/>
        </w:rPr>
        <w:t xml:space="preserve"> was held on 04-05 December 2019 in Hamburg. </w:t>
      </w:r>
    </w:p>
    <w:p w14:paraId="77FFCBD9" w14:textId="0EB78BBE" w:rsidR="00067A49" w:rsidRPr="00882BE6" w:rsidRDefault="00067A49" w:rsidP="00067A49">
      <w:pPr>
        <w:pStyle w:val="Kopfzeile"/>
        <w:spacing w:after="120" w:line="276" w:lineRule="auto"/>
        <w:rPr>
          <w:sz w:val="22"/>
          <w:szCs w:val="22"/>
          <w:lang w:val="en-GB" w:eastAsia="de-DE"/>
        </w:rPr>
      </w:pPr>
      <w:r>
        <w:rPr>
          <w:sz w:val="22"/>
          <w:szCs w:val="22"/>
        </w:rPr>
        <w:t>The group has</w:t>
      </w:r>
      <w:r w:rsidRPr="005D492B">
        <w:rPr>
          <w:sz w:val="22"/>
          <w:szCs w:val="22"/>
        </w:rPr>
        <w:t xml:space="preserve"> progressed on</w:t>
      </w:r>
      <w:r>
        <w:rPr>
          <w:sz w:val="22"/>
          <w:szCs w:val="22"/>
        </w:rPr>
        <w:t xml:space="preserve"> a few</w:t>
      </w:r>
      <w:r w:rsidRPr="005D492B">
        <w:rPr>
          <w:sz w:val="22"/>
          <w:szCs w:val="22"/>
        </w:rPr>
        <w:t xml:space="preserve"> specific items</w:t>
      </w:r>
      <w:r>
        <w:rPr>
          <w:sz w:val="22"/>
          <w:szCs w:val="22"/>
        </w:rPr>
        <w:t xml:space="preserve"> but mainly focused on the future structure of the group and those items from the Leeuwarden Declaration with relevance for the TG-MM. The outcome on the discussion on the future set-up, ToR and responsibilities of the group are processed in </w:t>
      </w:r>
      <w:r w:rsidRPr="008A6688">
        <w:rPr>
          <w:sz w:val="22"/>
          <w:szCs w:val="22"/>
        </w:rPr>
        <w:t>document WSB 28/</w:t>
      </w:r>
      <w:r w:rsidR="00936B52" w:rsidRPr="008A6688">
        <w:rPr>
          <w:sz w:val="22"/>
          <w:szCs w:val="22"/>
        </w:rPr>
        <w:t>7</w:t>
      </w:r>
      <w:r w:rsidR="00313306" w:rsidRPr="008A6688">
        <w:rPr>
          <w:sz w:val="22"/>
          <w:szCs w:val="22"/>
        </w:rPr>
        <w:t>.1</w:t>
      </w:r>
      <w:r w:rsidRPr="008A6688">
        <w:rPr>
          <w:sz w:val="22"/>
          <w:szCs w:val="22"/>
        </w:rPr>
        <w:t>/</w:t>
      </w:r>
      <w:r w:rsidR="00313306" w:rsidRPr="008A6688">
        <w:rPr>
          <w:sz w:val="22"/>
          <w:szCs w:val="22"/>
        </w:rPr>
        <w:t>1</w:t>
      </w:r>
      <w:r w:rsidRPr="008A6688">
        <w:rPr>
          <w:sz w:val="22"/>
          <w:szCs w:val="22"/>
        </w:rPr>
        <w:t xml:space="preserve"> </w:t>
      </w:r>
      <w:r>
        <w:rPr>
          <w:sz w:val="22"/>
          <w:szCs w:val="22"/>
        </w:rPr>
        <w:t>and will therefore not be repeated in this report.</w:t>
      </w:r>
    </w:p>
    <w:p w14:paraId="2B3C4ED3" w14:textId="77777777" w:rsidR="00067A49" w:rsidRPr="00AD62E7" w:rsidRDefault="00067A49" w:rsidP="00067A49">
      <w:pPr>
        <w:spacing w:after="120" w:line="276" w:lineRule="auto"/>
        <w:rPr>
          <w:sz w:val="22"/>
          <w:szCs w:val="22"/>
        </w:rPr>
      </w:pPr>
    </w:p>
    <w:p w14:paraId="43A8CC65" w14:textId="77777777" w:rsidR="00067A49" w:rsidRPr="00884A64" w:rsidRDefault="00067A49" w:rsidP="00067A49">
      <w:pPr>
        <w:spacing w:after="120" w:line="276" w:lineRule="auto"/>
        <w:ind w:left="1440" w:hanging="1440"/>
        <w:rPr>
          <w:sz w:val="22"/>
          <w:szCs w:val="22"/>
          <w:lang w:val="en-GB"/>
        </w:rPr>
      </w:pPr>
      <w:r w:rsidRPr="00884A64">
        <w:rPr>
          <w:b/>
          <w:bCs/>
          <w:sz w:val="22"/>
          <w:szCs w:val="22"/>
          <w:lang w:val="en-GB"/>
        </w:rPr>
        <w:t>Proposal:</w:t>
      </w:r>
      <w:r w:rsidRPr="00884A64">
        <w:rPr>
          <w:b/>
          <w:bCs/>
          <w:sz w:val="22"/>
          <w:szCs w:val="22"/>
          <w:lang w:val="en-GB"/>
        </w:rPr>
        <w:tab/>
      </w:r>
      <w:r w:rsidRPr="00F566FD">
        <w:rPr>
          <w:b/>
          <w:sz w:val="22"/>
          <w:szCs w:val="22"/>
          <w:lang w:val="en-GB"/>
        </w:rPr>
        <w:t>The WSB is invited to note the information and is invited to endorse the updated proposals where necessary.</w:t>
      </w:r>
    </w:p>
    <w:p w14:paraId="3DB60D11" w14:textId="77777777" w:rsidR="00067A49" w:rsidRPr="00884A64" w:rsidRDefault="00067A49" w:rsidP="00067A49">
      <w:pPr>
        <w:pStyle w:val="Textkrper"/>
        <w:spacing w:after="120" w:line="276" w:lineRule="auto"/>
        <w:rPr>
          <w:rFonts w:ascii="Times New Roman" w:hAnsi="Times New Roman" w:cs="Times New Roman"/>
          <w:sz w:val="22"/>
          <w:szCs w:val="22"/>
          <w:lang w:val="en-GB"/>
        </w:rPr>
      </w:pPr>
    </w:p>
    <w:p w14:paraId="0C201EDE" w14:textId="77777777" w:rsidR="00067A49" w:rsidRPr="00884A64" w:rsidRDefault="00067A49" w:rsidP="00067A49">
      <w:pPr>
        <w:spacing w:after="120" w:line="276" w:lineRule="auto"/>
        <w:jc w:val="center"/>
        <w:rPr>
          <w:sz w:val="22"/>
          <w:szCs w:val="22"/>
          <w:lang w:val="en-GB"/>
        </w:rPr>
      </w:pPr>
    </w:p>
    <w:p w14:paraId="474CEE62" w14:textId="77777777" w:rsidR="00067A49" w:rsidRPr="00884A64" w:rsidRDefault="00067A49" w:rsidP="00067A49">
      <w:pPr>
        <w:spacing w:after="120" w:line="276" w:lineRule="auto"/>
        <w:jc w:val="center"/>
        <w:rPr>
          <w:sz w:val="22"/>
          <w:szCs w:val="22"/>
          <w:lang w:val="en-GB"/>
        </w:rPr>
      </w:pPr>
    </w:p>
    <w:p w14:paraId="6D62073B" w14:textId="77777777" w:rsidR="00067A49" w:rsidRPr="00067A49" w:rsidRDefault="00067A49" w:rsidP="00067A49">
      <w:pPr>
        <w:rPr>
          <w:lang w:val="en-GB"/>
        </w:rPr>
      </w:pPr>
    </w:p>
    <w:p w14:paraId="64BC5645" w14:textId="77777777" w:rsidR="00067A49" w:rsidRDefault="00067A49" w:rsidP="00067A49">
      <w:r>
        <w:t xml:space="preserve"> </w:t>
      </w:r>
    </w:p>
    <w:p w14:paraId="28468E61" w14:textId="77777777" w:rsidR="00067A49" w:rsidRDefault="00067A49" w:rsidP="00067A49"/>
    <w:p w14:paraId="35D0D5A3" w14:textId="77777777" w:rsidR="00067A49" w:rsidRDefault="00067A49" w:rsidP="00067A49"/>
    <w:p w14:paraId="27A0A31C" w14:textId="77777777" w:rsidR="00067A49" w:rsidRDefault="00067A49" w:rsidP="00067A49"/>
    <w:p w14:paraId="589E3B4B" w14:textId="77777777" w:rsidR="00067A49" w:rsidRDefault="00067A49" w:rsidP="00067A49"/>
    <w:p w14:paraId="49558915" w14:textId="77777777" w:rsidR="00067A49" w:rsidRDefault="00067A49" w:rsidP="00067A49"/>
    <w:p w14:paraId="7178C67D" w14:textId="77777777" w:rsidR="00067A49" w:rsidRDefault="00067A49" w:rsidP="00067A49"/>
    <w:p w14:paraId="41639DC6" w14:textId="77777777" w:rsidR="00067A49" w:rsidRDefault="00067A49" w:rsidP="00067A49"/>
    <w:p w14:paraId="25A89238" w14:textId="77777777" w:rsidR="00067A49" w:rsidRDefault="00067A49" w:rsidP="00067A49"/>
    <w:p w14:paraId="4EFE274A" w14:textId="77777777" w:rsidR="00067A49" w:rsidRDefault="00067A49" w:rsidP="00067A49"/>
    <w:p w14:paraId="07361D86" w14:textId="77777777" w:rsidR="00067A49" w:rsidRDefault="00067A49" w:rsidP="00067A49"/>
    <w:p w14:paraId="421756C6" w14:textId="77777777" w:rsidR="00067A49" w:rsidRDefault="00067A49" w:rsidP="00067A49"/>
    <w:p w14:paraId="1468D382" w14:textId="77777777" w:rsidR="00067A49" w:rsidRDefault="00067A49" w:rsidP="00067A49">
      <w:r>
        <w:tab/>
      </w:r>
    </w:p>
    <w:p w14:paraId="1486D315" w14:textId="77777777" w:rsidR="00067A49" w:rsidRDefault="00067A49" w:rsidP="00067A49">
      <w:r>
        <w:t> </w:t>
      </w:r>
    </w:p>
    <w:p w14:paraId="135C9098" w14:textId="77777777" w:rsidR="00067A49" w:rsidRPr="00067A49" w:rsidRDefault="00067A49" w:rsidP="00067A49">
      <w:pPr>
        <w:spacing w:after="120" w:line="276" w:lineRule="auto"/>
        <w:rPr>
          <w:rFonts w:ascii="Arial" w:hAnsi="Arial" w:cs="Arial"/>
          <w:sz w:val="28"/>
          <w:szCs w:val="28"/>
        </w:rPr>
      </w:pPr>
      <w:r w:rsidRPr="00067A49">
        <w:rPr>
          <w:rFonts w:ascii="Arial" w:hAnsi="Arial" w:cs="Arial"/>
          <w:sz w:val="28"/>
          <w:szCs w:val="28"/>
        </w:rPr>
        <w:lastRenderedPageBreak/>
        <w:t>Task Group Management and Monitoring (TG-MM) progress report since WSB-27</w:t>
      </w:r>
    </w:p>
    <w:p w14:paraId="6123C107" w14:textId="77777777" w:rsidR="00067A49" w:rsidRPr="00067A49" w:rsidRDefault="00067A49" w:rsidP="00067A49">
      <w:pPr>
        <w:spacing w:after="200"/>
        <w:ind w:hanging="11"/>
        <w:contextualSpacing/>
        <w:rPr>
          <w:rFonts w:eastAsia="Calibri"/>
          <w:sz w:val="22"/>
          <w:szCs w:val="22"/>
          <w:lang w:val="en-GB"/>
        </w:rPr>
      </w:pPr>
      <w:r w:rsidRPr="00067A49">
        <w:rPr>
          <w:rFonts w:eastAsia="Calibri"/>
          <w:sz w:val="22"/>
          <w:szCs w:val="22"/>
          <w:lang w:val="en-GB"/>
        </w:rPr>
        <w:t>Since WSB-27 the TG-MM has progressed on the following specific items:</w:t>
      </w:r>
    </w:p>
    <w:p w14:paraId="33B11105" w14:textId="77777777" w:rsidR="00067A49" w:rsidRDefault="00067A49" w:rsidP="00067A49"/>
    <w:p w14:paraId="2AE6C0BD" w14:textId="77777777" w:rsidR="00067A49" w:rsidRPr="005538E0" w:rsidRDefault="00067A49" w:rsidP="00067A49">
      <w:pPr>
        <w:spacing w:after="120" w:line="276" w:lineRule="auto"/>
        <w:rPr>
          <w:rFonts w:ascii="Arial" w:hAnsi="Arial" w:cs="Arial"/>
          <w:b/>
          <w:sz w:val="22"/>
          <w:szCs w:val="22"/>
          <w:lang w:val="en-GB"/>
        </w:rPr>
      </w:pPr>
      <w:r w:rsidRPr="005538E0">
        <w:rPr>
          <w:rFonts w:ascii="Arial" w:hAnsi="Arial" w:cs="Arial"/>
          <w:b/>
          <w:sz w:val="22"/>
          <w:szCs w:val="22"/>
          <w:lang w:val="en-GB"/>
        </w:rPr>
        <w:t>TWSC review process and implications for TG-MM</w:t>
      </w:r>
    </w:p>
    <w:p w14:paraId="717CD6EB" w14:textId="77777777" w:rsidR="00067A49" w:rsidRDefault="00067A49" w:rsidP="00067A49">
      <w:pPr>
        <w:spacing w:line="276" w:lineRule="auto"/>
        <w:rPr>
          <w:sz w:val="22"/>
          <w:szCs w:val="22"/>
        </w:rPr>
      </w:pPr>
      <w:r w:rsidRPr="00067A49">
        <w:rPr>
          <w:sz w:val="22"/>
          <w:szCs w:val="22"/>
        </w:rPr>
        <w:t xml:space="preserve">The major content of the discussion on this issue was agreed to be </w:t>
      </w:r>
      <w:r w:rsidR="00F566FD">
        <w:rPr>
          <w:sz w:val="22"/>
          <w:szCs w:val="22"/>
        </w:rPr>
        <w:t>processed in</w:t>
      </w:r>
      <w:r w:rsidRPr="00067A49">
        <w:rPr>
          <w:sz w:val="22"/>
          <w:szCs w:val="22"/>
        </w:rPr>
        <w:t xml:space="preserve"> the ToR reference</w:t>
      </w:r>
      <w:r w:rsidR="00F566FD">
        <w:rPr>
          <w:sz w:val="22"/>
          <w:szCs w:val="22"/>
        </w:rPr>
        <w:t xml:space="preserve"> document</w:t>
      </w:r>
      <w:r w:rsidR="005538E0">
        <w:rPr>
          <w:sz w:val="22"/>
          <w:szCs w:val="22"/>
        </w:rPr>
        <w:t xml:space="preserve"> on</w:t>
      </w:r>
      <w:r w:rsidRPr="00067A49">
        <w:rPr>
          <w:sz w:val="22"/>
          <w:szCs w:val="22"/>
        </w:rPr>
        <w:t xml:space="preserve"> the future Task Groups Management and Monitoring </w:t>
      </w:r>
      <w:r w:rsidR="00F566FD">
        <w:rPr>
          <w:sz w:val="22"/>
          <w:szCs w:val="22"/>
        </w:rPr>
        <w:t>&amp;</w:t>
      </w:r>
      <w:r w:rsidRPr="00067A49">
        <w:rPr>
          <w:sz w:val="22"/>
          <w:szCs w:val="22"/>
        </w:rPr>
        <w:t xml:space="preserve"> Assessment which </w:t>
      </w:r>
      <w:r w:rsidR="00F566FD">
        <w:rPr>
          <w:sz w:val="22"/>
          <w:szCs w:val="22"/>
        </w:rPr>
        <w:t>is</w:t>
      </w:r>
      <w:r w:rsidRPr="00067A49">
        <w:rPr>
          <w:sz w:val="22"/>
          <w:szCs w:val="22"/>
        </w:rPr>
        <w:t xml:space="preserve"> be provided to WS</w:t>
      </w:r>
      <w:r w:rsidR="005538E0">
        <w:rPr>
          <w:sz w:val="22"/>
          <w:szCs w:val="22"/>
        </w:rPr>
        <w:t>B</w:t>
      </w:r>
      <w:r w:rsidRPr="00067A49">
        <w:rPr>
          <w:sz w:val="22"/>
          <w:szCs w:val="22"/>
        </w:rPr>
        <w:t xml:space="preserve"> </w:t>
      </w:r>
      <w:r w:rsidR="005538E0">
        <w:rPr>
          <w:sz w:val="22"/>
          <w:szCs w:val="22"/>
        </w:rPr>
        <w:t>as</w:t>
      </w:r>
      <w:r w:rsidRPr="00067A49">
        <w:rPr>
          <w:sz w:val="22"/>
          <w:szCs w:val="22"/>
        </w:rPr>
        <w:t xml:space="preserve"> a separate document. The corresponding documents have been reviewed by the TWSC Review Core Group during two consecutive meetings. Meanwhile, Mr. Adi Kellerman ha</w:t>
      </w:r>
      <w:r w:rsidR="005538E0">
        <w:rPr>
          <w:sz w:val="22"/>
          <w:szCs w:val="22"/>
        </w:rPr>
        <w:t>s</w:t>
      </w:r>
      <w:r w:rsidRPr="00067A49">
        <w:rPr>
          <w:sz w:val="22"/>
          <w:szCs w:val="22"/>
        </w:rPr>
        <w:t xml:space="preserve"> been agreed as chairperson of the new TG Monitoring and Assessment. </w:t>
      </w:r>
      <w:r w:rsidR="00F566FD">
        <w:rPr>
          <w:sz w:val="22"/>
          <w:szCs w:val="22"/>
        </w:rPr>
        <w:t>He</w:t>
      </w:r>
      <w:r w:rsidRPr="00067A49">
        <w:rPr>
          <w:sz w:val="22"/>
          <w:szCs w:val="22"/>
        </w:rPr>
        <w:t xml:space="preserve"> will be contracted by the Federal Ministry for the Environment, Nature Conservation and Nuclear Safety, Germany, for the period of the German presidency. </w:t>
      </w:r>
      <w:r w:rsidR="00F566FD">
        <w:rPr>
          <w:sz w:val="22"/>
          <w:szCs w:val="22"/>
        </w:rPr>
        <w:t>Mr. Kellermann</w:t>
      </w:r>
      <w:r w:rsidRPr="00067A49">
        <w:rPr>
          <w:sz w:val="22"/>
          <w:szCs w:val="22"/>
        </w:rPr>
        <w:t xml:space="preserve"> has a proven record within the trilateral cooperation</w:t>
      </w:r>
      <w:r w:rsidR="00F566FD">
        <w:rPr>
          <w:sz w:val="22"/>
          <w:szCs w:val="22"/>
        </w:rPr>
        <w:t xml:space="preserve">, </w:t>
      </w:r>
      <w:r w:rsidRPr="00067A49">
        <w:rPr>
          <w:sz w:val="22"/>
          <w:szCs w:val="22"/>
        </w:rPr>
        <w:t xml:space="preserve">in further monitoring related </w:t>
      </w:r>
      <w:r w:rsidR="00F566FD">
        <w:rPr>
          <w:sz w:val="22"/>
          <w:szCs w:val="22"/>
        </w:rPr>
        <w:t>work and cooperation on international level</w:t>
      </w:r>
      <w:r w:rsidRPr="00067A49">
        <w:rPr>
          <w:sz w:val="22"/>
          <w:szCs w:val="22"/>
        </w:rPr>
        <w:t>.</w:t>
      </w:r>
    </w:p>
    <w:p w14:paraId="5D4DE16B" w14:textId="687CA7DD" w:rsidR="008C0DF2" w:rsidRPr="00067A49" w:rsidRDefault="008C0DF2" w:rsidP="00067A49">
      <w:pPr>
        <w:spacing w:line="276" w:lineRule="auto"/>
        <w:rPr>
          <w:sz w:val="22"/>
          <w:szCs w:val="22"/>
        </w:rPr>
      </w:pPr>
      <w:r>
        <w:rPr>
          <w:sz w:val="22"/>
          <w:szCs w:val="22"/>
        </w:rPr>
        <w:t xml:space="preserve">As several of the Leeuwarden Declarations 44 key items are multi-faceted, the preparatory review work has, among others, </w:t>
      </w:r>
      <w:r w:rsidR="006861F7">
        <w:rPr>
          <w:sz w:val="22"/>
          <w:szCs w:val="22"/>
        </w:rPr>
        <w:t>revealed</w:t>
      </w:r>
      <w:r>
        <w:rPr>
          <w:sz w:val="22"/>
          <w:szCs w:val="22"/>
        </w:rPr>
        <w:t xml:space="preserve"> the importance of the </w:t>
      </w:r>
      <w:r w:rsidR="006861F7">
        <w:rPr>
          <w:sz w:val="22"/>
          <w:szCs w:val="22"/>
        </w:rPr>
        <w:t>three</w:t>
      </w:r>
      <w:r>
        <w:rPr>
          <w:sz w:val="22"/>
          <w:szCs w:val="22"/>
        </w:rPr>
        <w:t xml:space="preserve"> proposed Task Group</w:t>
      </w:r>
      <w:r w:rsidR="006861F7">
        <w:rPr>
          <w:sz w:val="22"/>
          <w:szCs w:val="22"/>
        </w:rPr>
        <w:t>s</w:t>
      </w:r>
      <w:r>
        <w:rPr>
          <w:sz w:val="22"/>
          <w:szCs w:val="22"/>
        </w:rPr>
        <w:t xml:space="preserve"> jointly contributing to the</w:t>
      </w:r>
      <w:r w:rsidR="00F179F7">
        <w:rPr>
          <w:sz w:val="22"/>
          <w:szCs w:val="22"/>
        </w:rPr>
        <w:t xml:space="preserve"> progressive implementation of the </w:t>
      </w:r>
      <w:r w:rsidR="00DC3E9D">
        <w:rPr>
          <w:sz w:val="22"/>
          <w:szCs w:val="22"/>
        </w:rPr>
        <w:t>d</w:t>
      </w:r>
      <w:r w:rsidR="00F179F7">
        <w:rPr>
          <w:sz w:val="22"/>
          <w:szCs w:val="22"/>
        </w:rPr>
        <w:t>ecl</w:t>
      </w:r>
      <w:r w:rsidR="00DC3E9D">
        <w:rPr>
          <w:sz w:val="22"/>
          <w:szCs w:val="22"/>
        </w:rPr>
        <w:t>a</w:t>
      </w:r>
      <w:r w:rsidR="00F179F7">
        <w:rPr>
          <w:sz w:val="22"/>
          <w:szCs w:val="22"/>
        </w:rPr>
        <w:t>ration</w:t>
      </w:r>
      <w:r w:rsidR="006861F7">
        <w:rPr>
          <w:sz w:val="22"/>
          <w:szCs w:val="22"/>
        </w:rPr>
        <w:t>.</w:t>
      </w:r>
      <w:r w:rsidR="00DC3E9D">
        <w:rPr>
          <w:sz w:val="22"/>
          <w:szCs w:val="22"/>
        </w:rPr>
        <w:t xml:space="preserve"> </w:t>
      </w:r>
      <w:r w:rsidR="006861F7">
        <w:rPr>
          <w:sz w:val="22"/>
          <w:szCs w:val="22"/>
        </w:rPr>
        <w:t xml:space="preserve">This could </w:t>
      </w:r>
      <w:r w:rsidR="00D62D8A">
        <w:rPr>
          <w:sz w:val="22"/>
          <w:szCs w:val="22"/>
        </w:rPr>
        <w:t xml:space="preserve">  specifically result</w:t>
      </w:r>
      <w:r w:rsidR="00DC3E9D">
        <w:rPr>
          <w:sz w:val="22"/>
          <w:szCs w:val="22"/>
        </w:rPr>
        <w:t xml:space="preserve"> </w:t>
      </w:r>
      <w:r w:rsidR="00D62D8A">
        <w:rPr>
          <w:sz w:val="22"/>
          <w:szCs w:val="22"/>
        </w:rPr>
        <w:t xml:space="preserve">in </w:t>
      </w:r>
      <w:r w:rsidR="006861F7">
        <w:rPr>
          <w:sz w:val="22"/>
          <w:szCs w:val="22"/>
        </w:rPr>
        <w:t xml:space="preserve">further </w:t>
      </w:r>
      <w:r w:rsidR="00D62D8A">
        <w:rPr>
          <w:sz w:val="22"/>
          <w:szCs w:val="22"/>
        </w:rPr>
        <w:t>joint papers like the joint TG-WH/TG-MM Research Agenda prioritization note submitted to WSB-28</w:t>
      </w:r>
      <w:r w:rsidR="00F179F7">
        <w:rPr>
          <w:sz w:val="22"/>
          <w:szCs w:val="22"/>
        </w:rPr>
        <w:t>.</w:t>
      </w:r>
    </w:p>
    <w:p w14:paraId="0FCD9D04" w14:textId="39786F7B" w:rsidR="00067A49" w:rsidRPr="00067A49" w:rsidRDefault="008C0DF2" w:rsidP="00067A49">
      <w:pPr>
        <w:spacing w:line="276" w:lineRule="auto"/>
        <w:rPr>
          <w:sz w:val="22"/>
          <w:szCs w:val="22"/>
        </w:rPr>
      </w:pPr>
      <w:r>
        <w:rPr>
          <w:sz w:val="22"/>
          <w:szCs w:val="22"/>
        </w:rPr>
        <w:t>I</w:t>
      </w:r>
      <w:r w:rsidR="00067A49" w:rsidRPr="00067A49">
        <w:rPr>
          <w:sz w:val="22"/>
          <w:szCs w:val="22"/>
        </w:rPr>
        <w:t xml:space="preserve">tems </w:t>
      </w:r>
      <w:r>
        <w:rPr>
          <w:sz w:val="22"/>
          <w:szCs w:val="22"/>
        </w:rPr>
        <w:t>at present</w:t>
      </w:r>
      <w:r w:rsidR="00067A49" w:rsidRPr="00067A49">
        <w:rPr>
          <w:sz w:val="22"/>
          <w:szCs w:val="22"/>
        </w:rPr>
        <w:t xml:space="preserve"> allocated under TG-MM were proposed to be considered for discussion in the OP</w:t>
      </w:r>
      <w:r w:rsidR="00BC1A78">
        <w:rPr>
          <w:sz w:val="22"/>
          <w:szCs w:val="22"/>
        </w:rPr>
        <w:t>t</w:t>
      </w:r>
      <w:r w:rsidR="00067A49" w:rsidRPr="00067A49">
        <w:rPr>
          <w:sz w:val="22"/>
          <w:szCs w:val="22"/>
        </w:rPr>
        <w:t xml:space="preserve">eamPH in the scope of </w:t>
      </w:r>
      <w:r w:rsidR="00F566FD">
        <w:rPr>
          <w:sz w:val="22"/>
          <w:szCs w:val="22"/>
        </w:rPr>
        <w:t xml:space="preserve">the development of </w:t>
      </w:r>
      <w:r w:rsidR="00067A49" w:rsidRPr="00067A49">
        <w:rPr>
          <w:sz w:val="22"/>
          <w:szCs w:val="22"/>
        </w:rPr>
        <w:t xml:space="preserve">the future Partnership Hub. </w:t>
      </w:r>
      <w:r w:rsidR="001339D3">
        <w:rPr>
          <w:sz w:val="22"/>
          <w:szCs w:val="22"/>
        </w:rPr>
        <w:t>T</w:t>
      </w:r>
      <w:r w:rsidR="00067A49" w:rsidRPr="00067A49">
        <w:rPr>
          <w:sz w:val="22"/>
          <w:szCs w:val="22"/>
        </w:rPr>
        <w:t>hese are ‘Marine litter’, ‘Light Emissions’, ‘Energy’ and ‘Ports and shipping’.</w:t>
      </w:r>
    </w:p>
    <w:p w14:paraId="5E0D5F71" w14:textId="77777777" w:rsidR="00067A49" w:rsidRDefault="00067A49" w:rsidP="00067A49"/>
    <w:p w14:paraId="42136CB5" w14:textId="5B7CDE2F" w:rsidR="00067A49" w:rsidRPr="00F566FD" w:rsidRDefault="00067A49" w:rsidP="00F566FD">
      <w:pPr>
        <w:ind w:left="1440" w:hanging="1440"/>
        <w:rPr>
          <w:b/>
          <w:sz w:val="22"/>
          <w:szCs w:val="22"/>
        </w:rPr>
      </w:pPr>
      <w:r w:rsidRPr="00F566FD">
        <w:rPr>
          <w:b/>
          <w:sz w:val="22"/>
          <w:szCs w:val="22"/>
        </w:rPr>
        <w:t xml:space="preserve">Proposal: </w:t>
      </w:r>
      <w:r w:rsidRPr="00F566FD">
        <w:rPr>
          <w:b/>
          <w:sz w:val="22"/>
          <w:szCs w:val="22"/>
        </w:rPr>
        <w:tab/>
        <w:t>WSB is invited to note the information</w:t>
      </w:r>
      <w:r w:rsidR="00F566FD" w:rsidRPr="00F566FD">
        <w:rPr>
          <w:sz w:val="22"/>
          <w:szCs w:val="22"/>
        </w:rPr>
        <w:t xml:space="preserve"> </w:t>
      </w:r>
      <w:r w:rsidR="00F566FD" w:rsidRPr="00F566FD">
        <w:rPr>
          <w:b/>
          <w:sz w:val="22"/>
          <w:szCs w:val="22"/>
        </w:rPr>
        <w:t xml:space="preserve">and to </w:t>
      </w:r>
      <w:r w:rsidR="00F179F7">
        <w:rPr>
          <w:b/>
          <w:sz w:val="22"/>
          <w:szCs w:val="22"/>
        </w:rPr>
        <w:t>approve the</w:t>
      </w:r>
      <w:r w:rsidR="00F566FD" w:rsidRPr="00F566FD">
        <w:rPr>
          <w:b/>
          <w:sz w:val="22"/>
          <w:szCs w:val="22"/>
        </w:rPr>
        <w:t xml:space="preserve"> further process</w:t>
      </w:r>
      <w:r w:rsidRPr="00F566FD">
        <w:rPr>
          <w:b/>
          <w:sz w:val="22"/>
          <w:szCs w:val="22"/>
        </w:rPr>
        <w:t>.</w:t>
      </w:r>
    </w:p>
    <w:p w14:paraId="7E3E42DA" w14:textId="77777777" w:rsidR="00067A49" w:rsidRPr="00067A49" w:rsidRDefault="00067A49" w:rsidP="00067A49">
      <w:pPr>
        <w:rPr>
          <w:b/>
        </w:rPr>
      </w:pPr>
    </w:p>
    <w:p w14:paraId="3597A300" w14:textId="77777777" w:rsidR="00067A49" w:rsidRDefault="00067A49" w:rsidP="00067A49"/>
    <w:p w14:paraId="15550FF1" w14:textId="77777777" w:rsidR="00067A49" w:rsidRPr="005538E0" w:rsidRDefault="00067A49" w:rsidP="00067A49">
      <w:pPr>
        <w:spacing w:after="120" w:line="276" w:lineRule="auto"/>
        <w:rPr>
          <w:rFonts w:ascii="Arial" w:hAnsi="Arial" w:cs="Arial"/>
          <w:b/>
          <w:sz w:val="22"/>
          <w:szCs w:val="22"/>
        </w:rPr>
      </w:pPr>
      <w:r w:rsidRPr="005538E0">
        <w:rPr>
          <w:rFonts w:ascii="Arial" w:hAnsi="Arial" w:cs="Arial"/>
          <w:b/>
          <w:sz w:val="22"/>
          <w:szCs w:val="22"/>
        </w:rPr>
        <w:t>Flyway &amp; Breeding Birds</w:t>
      </w:r>
    </w:p>
    <w:p w14:paraId="7B515B53" w14:textId="77777777" w:rsidR="00067A49" w:rsidRPr="00067A49" w:rsidRDefault="00F566FD" w:rsidP="00067A49">
      <w:pPr>
        <w:spacing w:line="276" w:lineRule="auto"/>
        <w:rPr>
          <w:sz w:val="22"/>
          <w:szCs w:val="22"/>
        </w:rPr>
      </w:pPr>
      <w:r>
        <w:rPr>
          <w:sz w:val="22"/>
          <w:szCs w:val="22"/>
        </w:rPr>
        <w:t>The meeting acknowledged the progress being made in the corresponding groups but</w:t>
      </w:r>
      <w:r w:rsidR="00067A49" w:rsidRPr="00067A49">
        <w:rPr>
          <w:sz w:val="22"/>
          <w:szCs w:val="22"/>
        </w:rPr>
        <w:t xml:space="preserve"> raised concern about the future of the flyway monitoring as the Dutch financing will end after 2019. </w:t>
      </w:r>
    </w:p>
    <w:p w14:paraId="7B2989FE" w14:textId="73CA3FB2" w:rsidR="00067A49" w:rsidRPr="00067A49" w:rsidRDefault="00067A49" w:rsidP="00067A49">
      <w:pPr>
        <w:spacing w:line="276" w:lineRule="auto"/>
        <w:rPr>
          <w:sz w:val="22"/>
          <w:szCs w:val="22"/>
        </w:rPr>
      </w:pPr>
      <w:r w:rsidRPr="00067A49">
        <w:rPr>
          <w:sz w:val="22"/>
          <w:szCs w:val="22"/>
        </w:rPr>
        <w:t xml:space="preserve">The final flyway report on the total counting numbers (from 2017) was expected to be ready in January or February 2019. The report would comprise a preface by the chairperson of the WSB, Prof. Karin Lochte. </w:t>
      </w:r>
      <w:proofErr w:type="gramStart"/>
      <w:r w:rsidR="00F179F7">
        <w:rPr>
          <w:sz w:val="22"/>
          <w:szCs w:val="22"/>
        </w:rPr>
        <w:t>With regard to</w:t>
      </w:r>
      <w:proofErr w:type="gramEnd"/>
      <w:r w:rsidR="00F179F7">
        <w:rPr>
          <w:sz w:val="22"/>
          <w:szCs w:val="22"/>
        </w:rPr>
        <w:t xml:space="preserve"> the already launched extended cooperation with the Arctic Council, WSFI-SG, TG-MM and CWSS are at the moment attempting to find </w:t>
      </w:r>
      <w:r w:rsidR="00BC1A78">
        <w:rPr>
          <w:sz w:val="22"/>
          <w:szCs w:val="22"/>
        </w:rPr>
        <w:t>the best and</w:t>
      </w:r>
      <w:r w:rsidR="00F179F7">
        <w:rPr>
          <w:sz w:val="22"/>
          <w:szCs w:val="22"/>
        </w:rPr>
        <w:t xml:space="preserve"> practical approach to the present challenge of accessing the </w:t>
      </w:r>
      <w:r w:rsidR="00BC1A78">
        <w:rPr>
          <w:sz w:val="22"/>
          <w:szCs w:val="22"/>
        </w:rPr>
        <w:t xml:space="preserve">Arctic </w:t>
      </w:r>
      <w:r w:rsidR="00F179F7">
        <w:rPr>
          <w:sz w:val="22"/>
          <w:szCs w:val="22"/>
        </w:rPr>
        <w:t>parts of the relevant flyways.</w:t>
      </w:r>
    </w:p>
    <w:p w14:paraId="039FC572" w14:textId="77777777" w:rsidR="00067A49" w:rsidRPr="00067A49" w:rsidRDefault="00067A49" w:rsidP="00067A49">
      <w:pPr>
        <w:rPr>
          <w:sz w:val="22"/>
          <w:szCs w:val="22"/>
        </w:rPr>
      </w:pPr>
    </w:p>
    <w:p w14:paraId="236656BF" w14:textId="77777777" w:rsidR="00067A49" w:rsidRPr="00067A49" w:rsidRDefault="00067A49" w:rsidP="00067A49">
      <w:pPr>
        <w:rPr>
          <w:b/>
          <w:sz w:val="22"/>
          <w:szCs w:val="22"/>
        </w:rPr>
      </w:pPr>
      <w:r w:rsidRPr="00067A49">
        <w:rPr>
          <w:b/>
          <w:sz w:val="22"/>
          <w:szCs w:val="22"/>
        </w:rPr>
        <w:t xml:space="preserve">Proposal: </w:t>
      </w:r>
      <w:r w:rsidRPr="00067A49">
        <w:rPr>
          <w:b/>
          <w:sz w:val="22"/>
          <w:szCs w:val="22"/>
        </w:rPr>
        <w:tab/>
        <w:t>WSB is invited to note the information.</w:t>
      </w:r>
    </w:p>
    <w:p w14:paraId="281A96EF" w14:textId="77777777" w:rsidR="005538E0" w:rsidRDefault="005538E0" w:rsidP="005538E0">
      <w:pPr>
        <w:spacing w:before="240"/>
        <w:rPr>
          <w:rFonts w:ascii="Arial" w:hAnsi="Arial" w:cs="Arial"/>
          <w:b/>
        </w:rPr>
      </w:pPr>
    </w:p>
    <w:p w14:paraId="1F1D157C" w14:textId="77777777" w:rsidR="00067A49" w:rsidRPr="005538E0" w:rsidRDefault="00067A49" w:rsidP="00067A49">
      <w:pPr>
        <w:rPr>
          <w:rFonts w:ascii="Arial" w:hAnsi="Arial" w:cs="Arial"/>
          <w:b/>
          <w:sz w:val="22"/>
          <w:szCs w:val="22"/>
        </w:rPr>
      </w:pPr>
      <w:r w:rsidRPr="005538E0">
        <w:rPr>
          <w:rFonts w:ascii="Arial" w:hAnsi="Arial" w:cs="Arial"/>
          <w:b/>
          <w:sz w:val="22"/>
          <w:szCs w:val="22"/>
        </w:rPr>
        <w:t>Fish targets</w:t>
      </w:r>
    </w:p>
    <w:p w14:paraId="39CDF48A" w14:textId="77777777" w:rsidR="00067A49" w:rsidRPr="00067A49" w:rsidRDefault="00067A49" w:rsidP="00067A49">
      <w:pPr>
        <w:rPr>
          <w:rFonts w:ascii="Arial" w:hAnsi="Arial" w:cs="Arial"/>
          <w:b/>
        </w:rPr>
      </w:pPr>
    </w:p>
    <w:p w14:paraId="2D2B1858" w14:textId="30FA7FD5" w:rsidR="00067A49" w:rsidRPr="00067A49" w:rsidRDefault="00F72405" w:rsidP="00067A49">
      <w:pPr>
        <w:spacing w:line="276" w:lineRule="auto"/>
        <w:rPr>
          <w:sz w:val="22"/>
          <w:szCs w:val="22"/>
        </w:rPr>
      </w:pPr>
      <w:r>
        <w:rPr>
          <w:sz w:val="22"/>
          <w:szCs w:val="22"/>
        </w:rPr>
        <w:t xml:space="preserve">The budget for the activities undertaken by the preliminary </w:t>
      </w:r>
      <w:r w:rsidR="00DC3E9D">
        <w:rPr>
          <w:sz w:val="22"/>
          <w:szCs w:val="22"/>
        </w:rPr>
        <w:t xml:space="preserve">Working Group </w:t>
      </w:r>
      <w:r>
        <w:rPr>
          <w:sz w:val="22"/>
          <w:szCs w:val="22"/>
        </w:rPr>
        <w:t>Swimway</w:t>
      </w:r>
      <w:r w:rsidR="006861F7">
        <w:rPr>
          <w:sz w:val="22"/>
          <w:szCs w:val="22"/>
        </w:rPr>
        <w:t xml:space="preserve"> </w:t>
      </w:r>
      <w:r>
        <w:rPr>
          <w:sz w:val="22"/>
          <w:szCs w:val="22"/>
        </w:rPr>
        <w:t>in 2019 has been adapted to the financ</w:t>
      </w:r>
      <w:r w:rsidR="000D38AF">
        <w:rPr>
          <w:sz w:val="22"/>
          <w:szCs w:val="22"/>
        </w:rPr>
        <w:t>ial allocations</w:t>
      </w:r>
      <w:r>
        <w:rPr>
          <w:sz w:val="22"/>
          <w:szCs w:val="22"/>
        </w:rPr>
        <w:t xml:space="preserve"> by the </w:t>
      </w:r>
      <w:r w:rsidR="006861F7">
        <w:rPr>
          <w:sz w:val="22"/>
          <w:szCs w:val="22"/>
        </w:rPr>
        <w:t>three</w:t>
      </w:r>
      <w:r>
        <w:rPr>
          <w:sz w:val="22"/>
          <w:szCs w:val="22"/>
        </w:rPr>
        <w:t xml:space="preserve"> parties. This has mainly been done by re-defining the tasks </w:t>
      </w:r>
      <w:r w:rsidR="00DC3E9D">
        <w:rPr>
          <w:sz w:val="22"/>
          <w:szCs w:val="22"/>
        </w:rPr>
        <w:t xml:space="preserve">for </w:t>
      </w:r>
      <w:r>
        <w:rPr>
          <w:sz w:val="22"/>
          <w:szCs w:val="22"/>
        </w:rPr>
        <w:t xml:space="preserve">2019 and the tasks foreseen to be taken over by the proposed future EG from 2019. This however indicates, that the EG will </w:t>
      </w:r>
      <w:r w:rsidR="00BC1A78">
        <w:rPr>
          <w:sz w:val="22"/>
          <w:szCs w:val="22"/>
        </w:rPr>
        <w:t xml:space="preserve">also </w:t>
      </w:r>
      <w:r>
        <w:rPr>
          <w:sz w:val="22"/>
          <w:szCs w:val="22"/>
        </w:rPr>
        <w:t xml:space="preserve">need a budget for the first years. </w:t>
      </w:r>
      <w:r w:rsidR="00067A49" w:rsidRPr="00067A49">
        <w:rPr>
          <w:sz w:val="22"/>
          <w:szCs w:val="22"/>
        </w:rPr>
        <w:t xml:space="preserve">As requested by TG-MM, CWSS and the TG-MM chairperson prepared a limited </w:t>
      </w:r>
      <w:r w:rsidR="00067A49" w:rsidRPr="00067A49">
        <w:rPr>
          <w:sz w:val="22"/>
          <w:szCs w:val="22"/>
        </w:rPr>
        <w:lastRenderedPageBreak/>
        <w:t>invitation to tender for Programme Coordination Swimway 2019. Three candidates from Denmark, Germany and the Netherlands were suggested by the trilateral Swimway group and received an invitation to tender from CWSS, with two te</w:t>
      </w:r>
      <w:r w:rsidR="00F566FD">
        <w:rPr>
          <w:sz w:val="22"/>
          <w:szCs w:val="22"/>
        </w:rPr>
        <w:t>n</w:t>
      </w:r>
      <w:r w:rsidR="00067A49" w:rsidRPr="00067A49">
        <w:rPr>
          <w:sz w:val="22"/>
          <w:szCs w:val="22"/>
        </w:rPr>
        <w:t xml:space="preserve">ders being received in the meantime. The selection process </w:t>
      </w:r>
      <w:r w:rsidR="00F54A5C">
        <w:rPr>
          <w:sz w:val="22"/>
          <w:szCs w:val="22"/>
        </w:rPr>
        <w:t>has been finalised and as a result Mr. Adi Kellermann is appointed as Swimway Project coordinator from 01 March 2019</w:t>
      </w:r>
      <w:r w:rsidR="00067A49" w:rsidRPr="00067A49">
        <w:rPr>
          <w:sz w:val="22"/>
          <w:szCs w:val="22"/>
        </w:rPr>
        <w:t>.</w:t>
      </w:r>
    </w:p>
    <w:p w14:paraId="6951A303" w14:textId="5C1EA9E1" w:rsidR="00312720" w:rsidRDefault="00067A49" w:rsidP="00067A49">
      <w:pPr>
        <w:spacing w:line="276" w:lineRule="auto"/>
        <w:rPr>
          <w:sz w:val="22"/>
          <w:szCs w:val="22"/>
        </w:rPr>
      </w:pPr>
      <w:r w:rsidRPr="00067A49">
        <w:rPr>
          <w:sz w:val="22"/>
          <w:szCs w:val="22"/>
        </w:rPr>
        <w:t>A trilateral committe</w:t>
      </w:r>
      <w:r w:rsidR="00F566FD">
        <w:rPr>
          <w:sz w:val="22"/>
          <w:szCs w:val="22"/>
        </w:rPr>
        <w:t>e</w:t>
      </w:r>
      <w:r w:rsidRPr="00067A49">
        <w:rPr>
          <w:sz w:val="22"/>
          <w:szCs w:val="22"/>
        </w:rPr>
        <w:t>, consisting of members of the Swimway group, continued preparing th</w:t>
      </w:r>
      <w:r w:rsidR="00F566FD">
        <w:rPr>
          <w:sz w:val="22"/>
          <w:szCs w:val="22"/>
        </w:rPr>
        <w:t>e</w:t>
      </w:r>
      <w:r w:rsidRPr="00067A49">
        <w:rPr>
          <w:sz w:val="22"/>
          <w:szCs w:val="22"/>
        </w:rPr>
        <w:t xml:space="preserve"> </w:t>
      </w:r>
      <w:hyperlink r:id="rId7" w:history="1">
        <w:r w:rsidRPr="00312720">
          <w:rPr>
            <w:rStyle w:val="Hyperlink"/>
            <w:sz w:val="22"/>
            <w:szCs w:val="22"/>
          </w:rPr>
          <w:t>fish conference</w:t>
        </w:r>
      </w:hyperlink>
      <w:r w:rsidRPr="00067A49">
        <w:rPr>
          <w:sz w:val="22"/>
          <w:szCs w:val="22"/>
        </w:rPr>
        <w:t xml:space="preserve"> </w:t>
      </w:r>
      <w:r w:rsidR="00312720">
        <w:rPr>
          <w:sz w:val="22"/>
          <w:szCs w:val="22"/>
        </w:rPr>
        <w:t xml:space="preserve">planned on </w:t>
      </w:r>
      <w:r w:rsidR="00312720">
        <w:t xml:space="preserve">24 - 26 September 2019 </w:t>
      </w:r>
      <w:r w:rsidRPr="00067A49">
        <w:rPr>
          <w:sz w:val="22"/>
          <w:szCs w:val="22"/>
        </w:rPr>
        <w:t>with the aim to establish a joint Swimway programme</w:t>
      </w:r>
      <w:r w:rsidR="008404A3">
        <w:rPr>
          <w:sz w:val="22"/>
          <w:szCs w:val="22"/>
        </w:rPr>
        <w:t xml:space="preserve"> including more specific actions and research needs</w:t>
      </w:r>
      <w:r w:rsidRPr="00067A49">
        <w:rPr>
          <w:sz w:val="22"/>
          <w:szCs w:val="22"/>
        </w:rPr>
        <w:t xml:space="preserve">. The conference is entitled </w:t>
      </w:r>
      <w:r w:rsidR="00312720">
        <w:rPr>
          <w:sz w:val="22"/>
          <w:szCs w:val="22"/>
        </w:rPr>
        <w:t>‘</w:t>
      </w:r>
      <w:r w:rsidRPr="00067A49">
        <w:rPr>
          <w:sz w:val="22"/>
          <w:szCs w:val="22"/>
        </w:rPr>
        <w:t>SWIMWAYs: Understanding connectivity within the life cycles of coastal fish</w:t>
      </w:r>
      <w:r w:rsidR="00312720">
        <w:rPr>
          <w:sz w:val="22"/>
          <w:szCs w:val="22"/>
        </w:rPr>
        <w:t xml:space="preserve">’. </w:t>
      </w:r>
      <w:r w:rsidR="00F72405">
        <w:rPr>
          <w:sz w:val="22"/>
          <w:szCs w:val="22"/>
        </w:rPr>
        <w:t xml:space="preserve"> The conference will be opened by the WSB-chair.</w:t>
      </w:r>
    </w:p>
    <w:p w14:paraId="7BE78905" w14:textId="25F4BF55" w:rsidR="00067A49" w:rsidRDefault="00067A49" w:rsidP="00067A49">
      <w:pPr>
        <w:spacing w:line="276" w:lineRule="auto"/>
        <w:rPr>
          <w:sz w:val="22"/>
          <w:szCs w:val="22"/>
        </w:rPr>
      </w:pPr>
      <w:r w:rsidRPr="00067A49">
        <w:rPr>
          <w:sz w:val="22"/>
          <w:szCs w:val="22"/>
        </w:rPr>
        <w:t xml:space="preserve">The Swimway Action Programme </w:t>
      </w:r>
      <w:r w:rsidR="00F72405">
        <w:rPr>
          <w:sz w:val="22"/>
          <w:szCs w:val="22"/>
        </w:rPr>
        <w:t>has been</w:t>
      </w:r>
      <w:r w:rsidRPr="00067A49">
        <w:rPr>
          <w:sz w:val="22"/>
          <w:szCs w:val="22"/>
        </w:rPr>
        <w:t xml:space="preserve"> </w:t>
      </w:r>
      <w:r w:rsidR="00F72405">
        <w:rPr>
          <w:sz w:val="22"/>
          <w:szCs w:val="22"/>
        </w:rPr>
        <w:t xml:space="preserve">finalized and </w:t>
      </w:r>
      <w:r w:rsidR="00056B15">
        <w:rPr>
          <w:sz w:val="22"/>
          <w:szCs w:val="22"/>
        </w:rPr>
        <w:t xml:space="preserve">is submitted as a separate document (WSB 28/5.1/2). </w:t>
      </w:r>
      <w:r w:rsidR="002B0C23">
        <w:rPr>
          <w:sz w:val="22"/>
          <w:szCs w:val="22"/>
        </w:rPr>
        <w:t>The programme</w:t>
      </w:r>
      <w:r w:rsidR="002B0C23" w:rsidRPr="002B0C23">
        <w:rPr>
          <w:sz w:val="22"/>
          <w:szCs w:val="22"/>
        </w:rPr>
        <w:t xml:space="preserve"> describes actions suitable to improve knowledge on relevant processes, optimize population monitoring, adjust policies and develop, realise and evaluate measures towards reaching the Trilateral Fish Targets.</w:t>
      </w:r>
    </w:p>
    <w:p w14:paraId="7C808A56" w14:textId="77777777" w:rsidR="00067A49" w:rsidRPr="00067A49" w:rsidRDefault="00067A49" w:rsidP="00067A49">
      <w:pPr>
        <w:spacing w:line="276" w:lineRule="auto"/>
        <w:rPr>
          <w:sz w:val="22"/>
          <w:szCs w:val="22"/>
        </w:rPr>
      </w:pPr>
    </w:p>
    <w:p w14:paraId="6A47F974" w14:textId="435C02E7" w:rsidR="00067A49" w:rsidRDefault="00067A49" w:rsidP="00936B52">
      <w:pPr>
        <w:spacing w:after="120" w:line="276" w:lineRule="auto"/>
        <w:ind w:left="1440" w:hanging="1440"/>
        <w:rPr>
          <w:b/>
          <w:sz w:val="22"/>
          <w:szCs w:val="22"/>
        </w:rPr>
      </w:pPr>
      <w:r w:rsidRPr="00067A49">
        <w:rPr>
          <w:b/>
          <w:sz w:val="22"/>
          <w:szCs w:val="22"/>
        </w:rPr>
        <w:t xml:space="preserve">Proposal: </w:t>
      </w:r>
      <w:r w:rsidRPr="00067A49">
        <w:rPr>
          <w:b/>
          <w:sz w:val="22"/>
          <w:szCs w:val="22"/>
        </w:rPr>
        <w:tab/>
        <w:t>WSB is invited to note the information</w:t>
      </w:r>
      <w:r w:rsidR="00936B52">
        <w:rPr>
          <w:b/>
          <w:sz w:val="22"/>
          <w:szCs w:val="22"/>
        </w:rPr>
        <w:t xml:space="preserve"> and to adopt the Swimway Action Programme.</w:t>
      </w:r>
    </w:p>
    <w:p w14:paraId="3A0551A5" w14:textId="77777777" w:rsidR="00936B52" w:rsidRDefault="00936B52" w:rsidP="00A02E43">
      <w:pPr>
        <w:spacing w:line="276" w:lineRule="auto"/>
      </w:pPr>
    </w:p>
    <w:p w14:paraId="6639CCDA" w14:textId="77777777" w:rsidR="00067A49" w:rsidRPr="005538E0" w:rsidRDefault="00067A49" w:rsidP="00067A49">
      <w:pPr>
        <w:spacing w:after="120" w:line="276" w:lineRule="auto"/>
        <w:rPr>
          <w:rFonts w:ascii="Arial" w:hAnsi="Arial" w:cs="Arial"/>
          <w:b/>
          <w:sz w:val="22"/>
          <w:szCs w:val="22"/>
        </w:rPr>
      </w:pPr>
      <w:r w:rsidRPr="005538E0">
        <w:rPr>
          <w:rFonts w:ascii="Arial" w:hAnsi="Arial" w:cs="Arial"/>
          <w:b/>
          <w:sz w:val="22"/>
          <w:szCs w:val="22"/>
        </w:rPr>
        <w:t>Wardening &amp; management</w:t>
      </w:r>
    </w:p>
    <w:p w14:paraId="5274AEBF" w14:textId="77777777" w:rsidR="00067A49" w:rsidRDefault="00067A49" w:rsidP="00067A49">
      <w:pPr>
        <w:spacing w:line="276" w:lineRule="auto"/>
        <w:rPr>
          <w:sz w:val="22"/>
          <w:szCs w:val="22"/>
        </w:rPr>
      </w:pPr>
      <w:r w:rsidRPr="00067A49">
        <w:rPr>
          <w:sz w:val="22"/>
          <w:szCs w:val="22"/>
        </w:rPr>
        <w:t xml:space="preserve">Activities for organizing a workshop on Wardening have been resumed as cooperation of CWSS and the </w:t>
      </w:r>
      <w:proofErr w:type="spellStart"/>
      <w:r w:rsidRPr="00067A49">
        <w:rPr>
          <w:sz w:val="22"/>
          <w:szCs w:val="22"/>
        </w:rPr>
        <w:t>Waddenunit</w:t>
      </w:r>
      <w:proofErr w:type="spellEnd"/>
      <w:r w:rsidRPr="00067A49">
        <w:rPr>
          <w:sz w:val="22"/>
          <w:szCs w:val="22"/>
        </w:rPr>
        <w:t xml:space="preserve"> (local organizers). Funding for a </w:t>
      </w:r>
      <w:r w:rsidR="005538E0" w:rsidRPr="00067A49">
        <w:rPr>
          <w:sz w:val="22"/>
          <w:szCs w:val="22"/>
        </w:rPr>
        <w:t>workshop</w:t>
      </w:r>
      <w:r w:rsidRPr="00067A49">
        <w:rPr>
          <w:sz w:val="22"/>
          <w:szCs w:val="22"/>
        </w:rPr>
        <w:t xml:space="preserve"> on Management </w:t>
      </w:r>
      <w:r w:rsidR="005538E0">
        <w:rPr>
          <w:sz w:val="22"/>
          <w:szCs w:val="22"/>
        </w:rPr>
        <w:t>was</w:t>
      </w:r>
      <w:r w:rsidRPr="00067A49">
        <w:rPr>
          <w:sz w:val="22"/>
          <w:szCs w:val="22"/>
        </w:rPr>
        <w:t xml:space="preserve"> still available, a concept for a new approach will need further discussion.</w:t>
      </w:r>
    </w:p>
    <w:p w14:paraId="6160B046" w14:textId="77777777" w:rsidR="00067A49" w:rsidRPr="00067A49" w:rsidRDefault="00067A49" w:rsidP="00067A49">
      <w:pPr>
        <w:spacing w:line="276" w:lineRule="auto"/>
        <w:rPr>
          <w:sz w:val="22"/>
          <w:szCs w:val="22"/>
        </w:rPr>
      </w:pPr>
    </w:p>
    <w:p w14:paraId="555753EE" w14:textId="77777777" w:rsidR="00067A49" w:rsidRPr="00067A49" w:rsidRDefault="00067A49" w:rsidP="00067A49">
      <w:pPr>
        <w:spacing w:after="120" w:line="276" w:lineRule="auto"/>
        <w:rPr>
          <w:b/>
          <w:sz w:val="22"/>
          <w:szCs w:val="22"/>
        </w:rPr>
      </w:pPr>
      <w:r w:rsidRPr="00067A49">
        <w:rPr>
          <w:b/>
          <w:sz w:val="22"/>
          <w:szCs w:val="22"/>
        </w:rPr>
        <w:t xml:space="preserve">Proposal: </w:t>
      </w:r>
      <w:r w:rsidRPr="00067A49">
        <w:rPr>
          <w:b/>
          <w:sz w:val="22"/>
          <w:szCs w:val="22"/>
        </w:rPr>
        <w:tab/>
        <w:t>WSB is invited to note the information.</w:t>
      </w:r>
    </w:p>
    <w:p w14:paraId="123BBDE3" w14:textId="77777777" w:rsidR="00067A49" w:rsidRDefault="00067A49" w:rsidP="00067A49"/>
    <w:p w14:paraId="18F05A93" w14:textId="77777777" w:rsidR="00067A49" w:rsidRPr="005538E0" w:rsidRDefault="00067A49" w:rsidP="00067A49">
      <w:pPr>
        <w:spacing w:after="120" w:line="276" w:lineRule="auto"/>
        <w:rPr>
          <w:rFonts w:ascii="Arial" w:hAnsi="Arial" w:cs="Arial"/>
          <w:b/>
          <w:sz w:val="22"/>
          <w:szCs w:val="22"/>
        </w:rPr>
      </w:pPr>
      <w:r w:rsidRPr="005538E0">
        <w:rPr>
          <w:rFonts w:ascii="Arial" w:hAnsi="Arial" w:cs="Arial"/>
          <w:b/>
          <w:sz w:val="22"/>
          <w:szCs w:val="22"/>
        </w:rPr>
        <w:t>Harbour porpoises</w:t>
      </w:r>
    </w:p>
    <w:p w14:paraId="57CF7A37" w14:textId="78AF7561" w:rsidR="00067A49" w:rsidRDefault="00DC3E9D" w:rsidP="00067A49">
      <w:pPr>
        <w:spacing w:line="276" w:lineRule="auto"/>
        <w:rPr>
          <w:sz w:val="22"/>
          <w:szCs w:val="22"/>
        </w:rPr>
      </w:pPr>
      <w:r w:rsidRPr="00DC3E9D">
        <w:rPr>
          <w:sz w:val="22"/>
          <w:szCs w:val="22"/>
        </w:rPr>
        <w:t xml:space="preserve">In 2017, ASCOBANS submitted a letter to the TWSC with the request to further include the Harbour porpoise under the TWSC. On basis of this initiative the corresponding paragraph 16 was included in the Leeuwarden Declaration. As an initial step to meet the requirements of this paragraph, </w:t>
      </w:r>
      <w:hyperlink r:id="rId8" w:history="1">
        <w:r w:rsidRPr="00936B52">
          <w:rPr>
            <w:rStyle w:val="Hyperlink"/>
            <w:sz w:val="22"/>
            <w:szCs w:val="22"/>
          </w:rPr>
          <w:t>a symposium on Harbour porpoises</w:t>
        </w:r>
      </w:hyperlink>
      <w:r w:rsidRPr="00DC3E9D">
        <w:rPr>
          <w:sz w:val="22"/>
          <w:szCs w:val="22"/>
        </w:rPr>
        <w:t xml:space="preserve"> will be held on 11 April 2019 in Wilhelmshaven,</w:t>
      </w:r>
      <w:r w:rsidR="00067A49" w:rsidRPr="00DC3E9D">
        <w:rPr>
          <w:sz w:val="22"/>
          <w:szCs w:val="22"/>
        </w:rPr>
        <w:t xml:space="preserve"> organized by the Common Wadden Sea Secretariat and the UNESCO Wadden Sea World</w:t>
      </w:r>
      <w:r w:rsidR="00067A49" w:rsidRPr="00067A49">
        <w:rPr>
          <w:sz w:val="22"/>
          <w:szCs w:val="22"/>
        </w:rPr>
        <w:t xml:space="preserve"> Heritage Visitor Centre. </w:t>
      </w:r>
      <w:r w:rsidR="00312720">
        <w:rPr>
          <w:sz w:val="22"/>
          <w:szCs w:val="22"/>
        </w:rPr>
        <w:t>The title will be ‘</w:t>
      </w:r>
      <w:r w:rsidR="00312720" w:rsidRPr="00312720">
        <w:rPr>
          <w:sz w:val="22"/>
          <w:szCs w:val="22"/>
        </w:rPr>
        <w:t>Bright Future? Harbour porpoises in the Wadden Sea</w:t>
      </w:r>
      <w:r w:rsidR="00312720">
        <w:rPr>
          <w:sz w:val="22"/>
          <w:szCs w:val="22"/>
        </w:rPr>
        <w:t xml:space="preserve">’. </w:t>
      </w:r>
      <w:r w:rsidR="00067A49" w:rsidRPr="00067A49">
        <w:rPr>
          <w:sz w:val="22"/>
          <w:szCs w:val="22"/>
        </w:rPr>
        <w:t xml:space="preserve">The event </w:t>
      </w:r>
      <w:r w:rsidR="00312720">
        <w:rPr>
          <w:sz w:val="22"/>
          <w:szCs w:val="22"/>
        </w:rPr>
        <w:t>will be</w:t>
      </w:r>
      <w:r w:rsidR="00067A49" w:rsidRPr="00067A49">
        <w:rPr>
          <w:sz w:val="22"/>
          <w:szCs w:val="22"/>
        </w:rPr>
        <w:t xml:space="preserve"> part 10-years World Heritage celebrations </w:t>
      </w:r>
      <w:r w:rsidR="00312720">
        <w:rPr>
          <w:sz w:val="22"/>
          <w:szCs w:val="22"/>
        </w:rPr>
        <w:t xml:space="preserve">and </w:t>
      </w:r>
      <w:r w:rsidR="00067A49" w:rsidRPr="00067A49">
        <w:rPr>
          <w:sz w:val="22"/>
          <w:szCs w:val="22"/>
        </w:rPr>
        <w:t xml:space="preserve">the programme of the third ‘Harbour Porpoise days 2019’, organized by the visitors centre, the National Park Authority and </w:t>
      </w:r>
      <w:proofErr w:type="gramStart"/>
      <w:r w:rsidR="00067A49" w:rsidRPr="00067A49">
        <w:rPr>
          <w:sz w:val="22"/>
          <w:szCs w:val="22"/>
        </w:rPr>
        <w:t>a number of</w:t>
      </w:r>
      <w:proofErr w:type="gramEnd"/>
      <w:r w:rsidR="00067A49" w:rsidRPr="00067A49">
        <w:rPr>
          <w:sz w:val="22"/>
          <w:szCs w:val="22"/>
        </w:rPr>
        <w:t xml:space="preserve"> local groups. Subsequent to the Symposium, a trilateral workshop is planned on 12 April 2019</w:t>
      </w:r>
      <w:r w:rsidR="00312720">
        <w:rPr>
          <w:sz w:val="22"/>
          <w:szCs w:val="22"/>
        </w:rPr>
        <w:t xml:space="preserve"> with the aim</w:t>
      </w:r>
      <w:r w:rsidR="00067A49" w:rsidRPr="00067A49">
        <w:rPr>
          <w:sz w:val="22"/>
          <w:szCs w:val="22"/>
        </w:rPr>
        <w:t xml:space="preserve"> to compile the results and, if considered as necessary, to develop recommendations on the future handling of harbor porpoise protection on trilateral level.</w:t>
      </w:r>
    </w:p>
    <w:p w14:paraId="4D906E64" w14:textId="77777777" w:rsidR="00067A49" w:rsidRPr="00067A49" w:rsidRDefault="00067A49" w:rsidP="00067A49">
      <w:pPr>
        <w:spacing w:line="276" w:lineRule="auto"/>
        <w:rPr>
          <w:sz w:val="22"/>
          <w:szCs w:val="22"/>
        </w:rPr>
      </w:pPr>
    </w:p>
    <w:p w14:paraId="38E7C713" w14:textId="77777777" w:rsidR="00067A49" w:rsidRPr="00067A49" w:rsidRDefault="00067A49" w:rsidP="00067A49">
      <w:pPr>
        <w:spacing w:after="120" w:line="276" w:lineRule="auto"/>
        <w:rPr>
          <w:b/>
          <w:sz w:val="22"/>
          <w:szCs w:val="22"/>
        </w:rPr>
      </w:pPr>
      <w:r w:rsidRPr="00067A49">
        <w:rPr>
          <w:b/>
          <w:sz w:val="22"/>
          <w:szCs w:val="22"/>
        </w:rPr>
        <w:t xml:space="preserve">Proposal: </w:t>
      </w:r>
      <w:r w:rsidRPr="00067A49">
        <w:rPr>
          <w:b/>
          <w:sz w:val="22"/>
          <w:szCs w:val="22"/>
        </w:rPr>
        <w:tab/>
        <w:t>WSB is invited to note the information.</w:t>
      </w:r>
    </w:p>
    <w:p w14:paraId="2ECCE817" w14:textId="77777777" w:rsidR="00067A49" w:rsidRDefault="00067A49" w:rsidP="00067A49"/>
    <w:p w14:paraId="05F07913" w14:textId="77777777" w:rsidR="00067A49" w:rsidRPr="005538E0" w:rsidRDefault="00067A49" w:rsidP="00067A49">
      <w:pPr>
        <w:spacing w:after="120" w:line="276" w:lineRule="auto"/>
        <w:rPr>
          <w:rFonts w:ascii="Arial" w:hAnsi="Arial" w:cs="Arial"/>
          <w:b/>
          <w:sz w:val="22"/>
          <w:szCs w:val="22"/>
        </w:rPr>
      </w:pPr>
      <w:r w:rsidRPr="005538E0">
        <w:rPr>
          <w:rFonts w:ascii="Arial" w:hAnsi="Arial" w:cs="Arial"/>
          <w:b/>
          <w:sz w:val="22"/>
          <w:szCs w:val="22"/>
        </w:rPr>
        <w:t>Alien Species</w:t>
      </w:r>
    </w:p>
    <w:p w14:paraId="756182A6" w14:textId="0BFEC19E" w:rsidR="00067A49" w:rsidRPr="00067A49" w:rsidRDefault="00067A49" w:rsidP="00067A49">
      <w:pPr>
        <w:rPr>
          <w:sz w:val="22"/>
          <w:szCs w:val="22"/>
        </w:rPr>
      </w:pPr>
      <w:r w:rsidRPr="00067A49">
        <w:rPr>
          <w:sz w:val="22"/>
          <w:szCs w:val="22"/>
        </w:rPr>
        <w:t xml:space="preserve">As there was no </w:t>
      </w:r>
      <w:r w:rsidR="00F30665">
        <w:rPr>
          <w:sz w:val="22"/>
          <w:szCs w:val="22"/>
        </w:rPr>
        <w:t xml:space="preserve">financial </w:t>
      </w:r>
      <w:r w:rsidRPr="00067A49">
        <w:rPr>
          <w:sz w:val="22"/>
          <w:szCs w:val="22"/>
        </w:rPr>
        <w:t xml:space="preserve">budget foreseen for activities </w:t>
      </w:r>
      <w:r w:rsidR="005538E0">
        <w:rPr>
          <w:sz w:val="22"/>
          <w:szCs w:val="22"/>
        </w:rPr>
        <w:t>concerning</w:t>
      </w:r>
      <w:r w:rsidRPr="00067A49">
        <w:rPr>
          <w:sz w:val="22"/>
          <w:szCs w:val="22"/>
        </w:rPr>
        <w:t xml:space="preserve"> Alien Species in 2019, TG-MM considered 2019 as a period for developing strategies and exploring options to implement the </w:t>
      </w:r>
      <w:r w:rsidR="00D62D8A">
        <w:rPr>
          <w:sz w:val="22"/>
          <w:szCs w:val="22"/>
        </w:rPr>
        <w:t xml:space="preserve">finalized </w:t>
      </w:r>
      <w:r w:rsidR="00A02E43" w:rsidRPr="00A02E43">
        <w:rPr>
          <w:sz w:val="22"/>
          <w:szCs w:val="22"/>
        </w:rPr>
        <w:t>Management and Action Plan for Alien Species</w:t>
      </w:r>
      <w:r w:rsidR="00A02E43">
        <w:rPr>
          <w:sz w:val="22"/>
          <w:szCs w:val="22"/>
        </w:rPr>
        <w:t xml:space="preserve"> (</w:t>
      </w:r>
      <w:r w:rsidRPr="00067A49">
        <w:rPr>
          <w:sz w:val="22"/>
          <w:szCs w:val="22"/>
        </w:rPr>
        <w:t>MAPAS</w:t>
      </w:r>
      <w:r w:rsidR="00A02E43">
        <w:rPr>
          <w:sz w:val="22"/>
          <w:szCs w:val="22"/>
        </w:rPr>
        <w:t>)</w:t>
      </w:r>
      <w:r w:rsidR="00F30665">
        <w:rPr>
          <w:sz w:val="22"/>
          <w:szCs w:val="22"/>
        </w:rPr>
        <w:t xml:space="preserve"> before the </w:t>
      </w:r>
      <w:r w:rsidR="00F30665">
        <w:rPr>
          <w:sz w:val="22"/>
          <w:szCs w:val="22"/>
        </w:rPr>
        <w:lastRenderedPageBreak/>
        <w:t>foreseen transfer of the activities to an Expert Group</w:t>
      </w:r>
      <w:r w:rsidRPr="00067A49">
        <w:rPr>
          <w:sz w:val="22"/>
          <w:szCs w:val="22"/>
        </w:rPr>
        <w:t xml:space="preserve">. TG-MM </w:t>
      </w:r>
      <w:r w:rsidR="00F30665">
        <w:rPr>
          <w:sz w:val="22"/>
          <w:szCs w:val="22"/>
        </w:rPr>
        <w:t>recognize</w:t>
      </w:r>
      <w:r w:rsidR="00BB5C41">
        <w:rPr>
          <w:sz w:val="22"/>
          <w:szCs w:val="22"/>
        </w:rPr>
        <w:t>d</w:t>
      </w:r>
      <w:r w:rsidR="00F30665">
        <w:rPr>
          <w:sz w:val="22"/>
          <w:szCs w:val="22"/>
        </w:rPr>
        <w:t xml:space="preserve"> the valuable work leading to the proposal for</w:t>
      </w:r>
      <w:r w:rsidRPr="00067A49">
        <w:rPr>
          <w:sz w:val="22"/>
          <w:szCs w:val="22"/>
        </w:rPr>
        <w:t xml:space="preserve"> the Communication Plan</w:t>
      </w:r>
      <w:r w:rsidR="00F30665">
        <w:rPr>
          <w:sz w:val="22"/>
          <w:szCs w:val="22"/>
        </w:rPr>
        <w:t>. The Group also stated, that the proposal will</w:t>
      </w:r>
      <w:r w:rsidRPr="00067A49">
        <w:rPr>
          <w:sz w:val="22"/>
          <w:szCs w:val="22"/>
        </w:rPr>
        <w:t xml:space="preserve"> need further elaboration, </w:t>
      </w:r>
      <w:r w:rsidR="00F30665">
        <w:rPr>
          <w:sz w:val="22"/>
          <w:szCs w:val="22"/>
        </w:rPr>
        <w:t xml:space="preserve">thus </w:t>
      </w:r>
      <w:r w:rsidRPr="00067A49">
        <w:rPr>
          <w:sz w:val="22"/>
          <w:szCs w:val="22"/>
        </w:rPr>
        <w:t>consider</w:t>
      </w:r>
      <w:r w:rsidR="00F30665">
        <w:rPr>
          <w:sz w:val="22"/>
          <w:szCs w:val="22"/>
        </w:rPr>
        <w:t>ing it</w:t>
      </w:r>
      <w:r w:rsidRPr="00067A49">
        <w:rPr>
          <w:sz w:val="22"/>
          <w:szCs w:val="22"/>
        </w:rPr>
        <w:t xml:space="preserve"> an internal document suitable for technical guidance. </w:t>
      </w:r>
    </w:p>
    <w:p w14:paraId="38DE15B6" w14:textId="04BB526D" w:rsidR="00067A49" w:rsidRDefault="00067A49" w:rsidP="00067A49">
      <w:pPr>
        <w:rPr>
          <w:sz w:val="22"/>
          <w:szCs w:val="22"/>
        </w:rPr>
      </w:pPr>
      <w:r w:rsidRPr="00067A49">
        <w:rPr>
          <w:sz w:val="22"/>
          <w:szCs w:val="22"/>
        </w:rPr>
        <w:t>The corresponding ad hoc Working Group Alien Species will have a proposed mandate for 2019</w:t>
      </w:r>
      <w:r w:rsidR="00F30665">
        <w:rPr>
          <w:sz w:val="22"/>
          <w:szCs w:val="22"/>
        </w:rPr>
        <w:t xml:space="preserve"> and will be able to progress </w:t>
      </w:r>
      <w:proofErr w:type="gramStart"/>
      <w:r w:rsidR="00F30665">
        <w:rPr>
          <w:sz w:val="22"/>
          <w:szCs w:val="22"/>
        </w:rPr>
        <w:t>on the basis of</w:t>
      </w:r>
      <w:proofErr w:type="gramEnd"/>
      <w:r w:rsidR="00F30665">
        <w:rPr>
          <w:sz w:val="22"/>
          <w:szCs w:val="22"/>
        </w:rPr>
        <w:t xml:space="preserve"> human resources allocated by the parties and the CWSS</w:t>
      </w:r>
      <w:r w:rsidRPr="00067A49">
        <w:rPr>
          <w:sz w:val="22"/>
          <w:szCs w:val="22"/>
        </w:rPr>
        <w:t>.</w:t>
      </w:r>
    </w:p>
    <w:p w14:paraId="2155CEE1" w14:textId="54F95988" w:rsidR="00936B52" w:rsidRDefault="00936B52" w:rsidP="00067A49">
      <w:pPr>
        <w:rPr>
          <w:sz w:val="22"/>
          <w:szCs w:val="22"/>
        </w:rPr>
      </w:pPr>
      <w:r w:rsidRPr="00067A49">
        <w:rPr>
          <w:sz w:val="22"/>
          <w:szCs w:val="22"/>
        </w:rPr>
        <w:t xml:space="preserve">The </w:t>
      </w:r>
      <w:r w:rsidR="00A02E43">
        <w:rPr>
          <w:sz w:val="22"/>
          <w:szCs w:val="22"/>
        </w:rPr>
        <w:t>MAPAS</w:t>
      </w:r>
      <w:r w:rsidRPr="00067A49">
        <w:rPr>
          <w:sz w:val="22"/>
          <w:szCs w:val="22"/>
        </w:rPr>
        <w:t xml:space="preserve"> </w:t>
      </w:r>
      <w:r>
        <w:rPr>
          <w:sz w:val="22"/>
          <w:szCs w:val="22"/>
        </w:rPr>
        <w:t>has been</w:t>
      </w:r>
      <w:r w:rsidRPr="00067A49">
        <w:rPr>
          <w:sz w:val="22"/>
          <w:szCs w:val="22"/>
        </w:rPr>
        <w:t xml:space="preserve"> </w:t>
      </w:r>
      <w:r>
        <w:rPr>
          <w:sz w:val="22"/>
          <w:szCs w:val="22"/>
        </w:rPr>
        <w:t>finalized and is submitted as a separate document (WSB 28/5.1/3).</w:t>
      </w:r>
    </w:p>
    <w:p w14:paraId="3AF3C740" w14:textId="77777777" w:rsidR="00067A49" w:rsidRPr="00067A49" w:rsidRDefault="00067A49" w:rsidP="00067A49">
      <w:pPr>
        <w:rPr>
          <w:sz w:val="22"/>
          <w:szCs w:val="22"/>
        </w:rPr>
      </w:pPr>
    </w:p>
    <w:p w14:paraId="352FBDD0" w14:textId="3FEA6B89" w:rsidR="00067A49" w:rsidRPr="00067A49" w:rsidRDefault="00067A49" w:rsidP="00067A49">
      <w:pPr>
        <w:spacing w:after="120" w:line="276" w:lineRule="auto"/>
        <w:rPr>
          <w:b/>
          <w:sz w:val="22"/>
          <w:szCs w:val="22"/>
        </w:rPr>
      </w:pPr>
      <w:r w:rsidRPr="00067A49">
        <w:rPr>
          <w:b/>
          <w:sz w:val="22"/>
          <w:szCs w:val="22"/>
        </w:rPr>
        <w:t>Proposal:</w:t>
      </w:r>
      <w:r w:rsidRPr="00067A49">
        <w:rPr>
          <w:b/>
          <w:sz w:val="22"/>
          <w:szCs w:val="22"/>
        </w:rPr>
        <w:tab/>
        <w:t xml:space="preserve">WSB is invited </w:t>
      </w:r>
      <w:r w:rsidR="00F30665">
        <w:rPr>
          <w:b/>
          <w:sz w:val="22"/>
          <w:szCs w:val="22"/>
        </w:rPr>
        <w:t>to endorse the approach</w:t>
      </w:r>
      <w:r w:rsidR="00936B52">
        <w:rPr>
          <w:b/>
          <w:sz w:val="22"/>
          <w:szCs w:val="22"/>
        </w:rPr>
        <w:t xml:space="preserve"> and to adopt the MAPAS.</w:t>
      </w:r>
    </w:p>
    <w:p w14:paraId="0391AD0F" w14:textId="77777777" w:rsidR="00067A49" w:rsidRDefault="00067A49" w:rsidP="00067A49"/>
    <w:p w14:paraId="06A8B96C" w14:textId="77777777" w:rsidR="00067A49" w:rsidRPr="00067A49" w:rsidRDefault="00067A49" w:rsidP="00067A49">
      <w:pPr>
        <w:spacing w:after="120" w:line="276" w:lineRule="auto"/>
        <w:rPr>
          <w:rFonts w:ascii="Arial" w:hAnsi="Arial" w:cs="Arial"/>
          <w:b/>
          <w:sz w:val="22"/>
          <w:szCs w:val="22"/>
          <w:lang w:val="en-GB"/>
        </w:rPr>
      </w:pPr>
      <w:bookmarkStart w:id="0" w:name="_Hlk2075064"/>
      <w:r w:rsidRPr="00067A49">
        <w:rPr>
          <w:rFonts w:ascii="Arial" w:hAnsi="Arial" w:cs="Arial"/>
          <w:b/>
          <w:sz w:val="22"/>
          <w:szCs w:val="22"/>
          <w:lang w:val="en-GB"/>
        </w:rPr>
        <w:t>TMAP, QSR &amp; Data Handling</w:t>
      </w:r>
    </w:p>
    <w:p w14:paraId="11DE14B7" w14:textId="197E9D5A" w:rsidR="00067A49" w:rsidRPr="00067A49" w:rsidRDefault="00067A49" w:rsidP="00067A49">
      <w:pPr>
        <w:rPr>
          <w:sz w:val="22"/>
          <w:szCs w:val="22"/>
        </w:rPr>
      </w:pPr>
      <w:r w:rsidRPr="00067A49">
        <w:rPr>
          <w:sz w:val="22"/>
          <w:szCs w:val="22"/>
        </w:rPr>
        <w:t xml:space="preserve">CWSS informed that the QSR Synthesis had been delayed due to the workload at CWSS, mainly due to the TWSC review process. The envisaged submission of the draft by the end of 2018 </w:t>
      </w:r>
      <w:r w:rsidR="00D62D8A">
        <w:rPr>
          <w:sz w:val="22"/>
          <w:szCs w:val="22"/>
        </w:rPr>
        <w:t>was not possible</w:t>
      </w:r>
      <w:r w:rsidRPr="00067A49">
        <w:rPr>
          <w:sz w:val="22"/>
          <w:szCs w:val="22"/>
        </w:rPr>
        <w:t xml:space="preserve"> for the same reasons.</w:t>
      </w:r>
      <w:r w:rsidR="00056B15">
        <w:rPr>
          <w:sz w:val="22"/>
          <w:szCs w:val="22"/>
        </w:rPr>
        <w:t xml:space="preserve"> </w:t>
      </w:r>
    </w:p>
    <w:p w14:paraId="0FCD77F7" w14:textId="14B9FED1" w:rsidR="00067A49" w:rsidRDefault="00067A49" w:rsidP="00067A49">
      <w:pPr>
        <w:rPr>
          <w:sz w:val="22"/>
          <w:szCs w:val="22"/>
        </w:rPr>
      </w:pPr>
      <w:r w:rsidRPr="00067A49">
        <w:rPr>
          <w:sz w:val="22"/>
          <w:szCs w:val="22"/>
        </w:rPr>
        <w:t>Th</w:t>
      </w:r>
      <w:r w:rsidR="005F7195">
        <w:rPr>
          <w:sz w:val="22"/>
          <w:szCs w:val="22"/>
        </w:rPr>
        <w:t>e</w:t>
      </w:r>
      <w:r w:rsidRPr="00067A49">
        <w:rPr>
          <w:sz w:val="22"/>
          <w:szCs w:val="22"/>
        </w:rPr>
        <w:t xml:space="preserve"> </w:t>
      </w:r>
      <w:r w:rsidR="00056B15">
        <w:rPr>
          <w:sz w:val="22"/>
          <w:szCs w:val="22"/>
        </w:rPr>
        <w:t>items from the paragraphs 18-20 from the LD</w:t>
      </w:r>
      <w:r w:rsidR="005F7195">
        <w:rPr>
          <w:sz w:val="22"/>
          <w:szCs w:val="22"/>
        </w:rPr>
        <w:t xml:space="preserve"> (</w:t>
      </w:r>
      <w:r w:rsidR="005F7195" w:rsidRPr="005F7195">
        <w:rPr>
          <w:sz w:val="22"/>
          <w:szCs w:val="22"/>
        </w:rPr>
        <w:t>TMAP, QSR &amp; Data Handling</w:t>
      </w:r>
      <w:r w:rsidR="005F7195">
        <w:rPr>
          <w:sz w:val="22"/>
          <w:szCs w:val="22"/>
        </w:rPr>
        <w:t>)</w:t>
      </w:r>
      <w:r w:rsidRPr="00067A49">
        <w:rPr>
          <w:sz w:val="22"/>
          <w:szCs w:val="22"/>
        </w:rPr>
        <w:t xml:space="preserve"> </w:t>
      </w:r>
      <w:r w:rsidR="00056B15">
        <w:rPr>
          <w:sz w:val="22"/>
          <w:szCs w:val="22"/>
        </w:rPr>
        <w:t xml:space="preserve">are </w:t>
      </w:r>
      <w:r w:rsidRPr="00067A49">
        <w:rPr>
          <w:sz w:val="22"/>
          <w:szCs w:val="22"/>
        </w:rPr>
        <w:t>foreseen to be transferred to the</w:t>
      </w:r>
      <w:r w:rsidR="005F7195">
        <w:rPr>
          <w:sz w:val="22"/>
          <w:szCs w:val="22"/>
        </w:rPr>
        <w:t xml:space="preserve"> new</w:t>
      </w:r>
      <w:r w:rsidRPr="00067A49">
        <w:rPr>
          <w:sz w:val="22"/>
          <w:szCs w:val="22"/>
        </w:rPr>
        <w:t xml:space="preserve"> TG-Monitoring and Assessment in the future.</w:t>
      </w:r>
    </w:p>
    <w:p w14:paraId="587FFD25" w14:textId="77777777" w:rsidR="00067A49" w:rsidRPr="00067A49" w:rsidRDefault="00067A49" w:rsidP="00067A49">
      <w:pPr>
        <w:rPr>
          <w:sz w:val="22"/>
          <w:szCs w:val="22"/>
        </w:rPr>
      </w:pPr>
    </w:p>
    <w:p w14:paraId="411F5A0B" w14:textId="2E0DE1F3" w:rsidR="00FD5F46" w:rsidRDefault="00067A49" w:rsidP="00223E1C">
      <w:pPr>
        <w:spacing w:after="120" w:line="276" w:lineRule="auto"/>
        <w:ind w:left="1440" w:hanging="1440"/>
        <w:rPr>
          <w:b/>
          <w:sz w:val="22"/>
          <w:szCs w:val="22"/>
        </w:rPr>
      </w:pPr>
      <w:r w:rsidRPr="00067A49">
        <w:rPr>
          <w:b/>
          <w:sz w:val="22"/>
          <w:szCs w:val="22"/>
        </w:rPr>
        <w:t>Proposal:</w:t>
      </w:r>
      <w:r w:rsidRPr="00067A49">
        <w:rPr>
          <w:b/>
          <w:sz w:val="22"/>
          <w:szCs w:val="22"/>
        </w:rPr>
        <w:tab/>
        <w:t>WSB is invited to note the information and to guide on the further process.</w:t>
      </w:r>
    </w:p>
    <w:bookmarkEnd w:id="0"/>
    <w:p w14:paraId="5D323E52" w14:textId="77777777" w:rsidR="00313306" w:rsidRPr="00313306" w:rsidRDefault="00313306" w:rsidP="00313306">
      <w:pPr>
        <w:spacing w:line="276" w:lineRule="auto"/>
        <w:rPr>
          <w:rFonts w:ascii="Arial" w:hAnsi="Arial" w:cs="Arial"/>
          <w:lang w:val="en-GB"/>
        </w:rPr>
      </w:pPr>
    </w:p>
    <w:p w14:paraId="051B1C3E" w14:textId="3278BE88" w:rsidR="00067A49" w:rsidRPr="00313306" w:rsidRDefault="00067A49" w:rsidP="00067A49">
      <w:pPr>
        <w:spacing w:after="120" w:line="276" w:lineRule="auto"/>
        <w:rPr>
          <w:rFonts w:ascii="Arial" w:hAnsi="Arial" w:cs="Arial"/>
          <w:b/>
          <w:sz w:val="22"/>
          <w:szCs w:val="22"/>
          <w:lang w:val="en-GB"/>
        </w:rPr>
      </w:pPr>
      <w:r w:rsidRPr="00313306">
        <w:rPr>
          <w:rFonts w:ascii="Arial" w:hAnsi="Arial" w:cs="Arial"/>
          <w:b/>
          <w:sz w:val="22"/>
          <w:szCs w:val="22"/>
          <w:lang w:val="en-GB"/>
        </w:rPr>
        <w:t>Sustainable Fisheries</w:t>
      </w:r>
    </w:p>
    <w:p w14:paraId="7C1732FD" w14:textId="71AE3148" w:rsidR="00067A49" w:rsidRPr="00067A49" w:rsidRDefault="00067A49" w:rsidP="00067A49">
      <w:pPr>
        <w:spacing w:after="120" w:line="276" w:lineRule="auto"/>
        <w:rPr>
          <w:sz w:val="22"/>
          <w:szCs w:val="22"/>
        </w:rPr>
      </w:pPr>
      <w:r w:rsidRPr="00067A49">
        <w:rPr>
          <w:sz w:val="22"/>
          <w:szCs w:val="22"/>
        </w:rPr>
        <w:t xml:space="preserve">TG-MM </w:t>
      </w:r>
      <w:r w:rsidR="006831EC">
        <w:rPr>
          <w:sz w:val="22"/>
          <w:szCs w:val="22"/>
        </w:rPr>
        <w:t xml:space="preserve">elaborated further on </w:t>
      </w:r>
      <w:r w:rsidRPr="00067A49">
        <w:rPr>
          <w:sz w:val="22"/>
          <w:szCs w:val="22"/>
        </w:rPr>
        <w:t xml:space="preserve">the </w:t>
      </w:r>
      <w:r>
        <w:rPr>
          <w:sz w:val="22"/>
          <w:szCs w:val="22"/>
        </w:rPr>
        <w:t xml:space="preserve">WSB </w:t>
      </w:r>
      <w:r w:rsidRPr="00067A49">
        <w:rPr>
          <w:sz w:val="22"/>
          <w:szCs w:val="22"/>
        </w:rPr>
        <w:t>proposal</w:t>
      </w:r>
      <w:r>
        <w:rPr>
          <w:sz w:val="22"/>
          <w:szCs w:val="22"/>
        </w:rPr>
        <w:t xml:space="preserve"> </w:t>
      </w:r>
      <w:r w:rsidRPr="00067A49">
        <w:rPr>
          <w:sz w:val="22"/>
          <w:szCs w:val="22"/>
        </w:rPr>
        <w:t xml:space="preserve">to integrate the </w:t>
      </w:r>
      <w:r w:rsidR="005538E0">
        <w:rPr>
          <w:sz w:val="22"/>
          <w:szCs w:val="22"/>
        </w:rPr>
        <w:t>item</w:t>
      </w:r>
      <w:r w:rsidRPr="00067A49">
        <w:rPr>
          <w:sz w:val="22"/>
          <w:szCs w:val="22"/>
        </w:rPr>
        <w:t xml:space="preserve"> as a chapter </w:t>
      </w:r>
      <w:r w:rsidR="005538E0">
        <w:rPr>
          <w:sz w:val="22"/>
          <w:szCs w:val="22"/>
        </w:rPr>
        <w:t xml:space="preserve">in </w:t>
      </w:r>
      <w:r w:rsidRPr="00067A49">
        <w:rPr>
          <w:sz w:val="22"/>
          <w:szCs w:val="22"/>
        </w:rPr>
        <w:t xml:space="preserve">the Single Integrated Management Plan (SIMP) </w:t>
      </w:r>
      <w:r w:rsidR="006831EC">
        <w:rPr>
          <w:sz w:val="22"/>
          <w:szCs w:val="22"/>
        </w:rPr>
        <w:t xml:space="preserve">including </w:t>
      </w:r>
      <w:r w:rsidRPr="00067A49">
        <w:rPr>
          <w:sz w:val="22"/>
          <w:szCs w:val="22"/>
        </w:rPr>
        <w:t>also consideration of former trilateral reports on the issue.</w:t>
      </w:r>
    </w:p>
    <w:p w14:paraId="210C0428" w14:textId="42A5909D" w:rsidR="00067A49" w:rsidRPr="00067A49" w:rsidRDefault="00067A49" w:rsidP="00067A49">
      <w:pPr>
        <w:spacing w:after="120" w:line="276" w:lineRule="auto"/>
        <w:rPr>
          <w:b/>
          <w:sz w:val="22"/>
          <w:szCs w:val="22"/>
        </w:rPr>
      </w:pPr>
      <w:r w:rsidRPr="00067A49">
        <w:rPr>
          <w:b/>
          <w:sz w:val="22"/>
          <w:szCs w:val="22"/>
        </w:rPr>
        <w:t>Proposal:</w:t>
      </w:r>
      <w:r w:rsidRPr="00067A49">
        <w:rPr>
          <w:b/>
          <w:sz w:val="22"/>
          <w:szCs w:val="22"/>
        </w:rPr>
        <w:tab/>
        <w:t xml:space="preserve">WSB is invited to </w:t>
      </w:r>
      <w:r w:rsidR="006831EC">
        <w:rPr>
          <w:b/>
          <w:sz w:val="22"/>
          <w:szCs w:val="22"/>
        </w:rPr>
        <w:t>note the information</w:t>
      </w:r>
      <w:r w:rsidRPr="00067A49">
        <w:rPr>
          <w:b/>
          <w:sz w:val="22"/>
          <w:szCs w:val="22"/>
        </w:rPr>
        <w:t>.</w:t>
      </w:r>
    </w:p>
    <w:p w14:paraId="650829E7" w14:textId="77777777" w:rsidR="00067A49" w:rsidRDefault="00067A49" w:rsidP="00067A49"/>
    <w:p w14:paraId="053C65AD" w14:textId="77777777" w:rsidR="00067A49" w:rsidRPr="005538E0" w:rsidRDefault="00067A49" w:rsidP="00067A49">
      <w:pPr>
        <w:rPr>
          <w:rFonts w:ascii="Arial" w:hAnsi="Arial" w:cs="Arial"/>
          <w:b/>
          <w:sz w:val="22"/>
          <w:szCs w:val="22"/>
        </w:rPr>
      </w:pPr>
      <w:r w:rsidRPr="005538E0">
        <w:rPr>
          <w:rFonts w:ascii="Arial" w:hAnsi="Arial" w:cs="Arial"/>
          <w:b/>
          <w:sz w:val="22"/>
          <w:szCs w:val="22"/>
        </w:rPr>
        <w:t>Ports and shipping</w:t>
      </w:r>
    </w:p>
    <w:p w14:paraId="791560C1" w14:textId="77777777" w:rsidR="00067A49" w:rsidRDefault="00067A49" w:rsidP="00067A49"/>
    <w:p w14:paraId="442DD42F" w14:textId="57EF480A" w:rsidR="005538E0" w:rsidRDefault="00067A49" w:rsidP="00067A49">
      <w:pPr>
        <w:spacing w:line="276" w:lineRule="auto"/>
        <w:rPr>
          <w:sz w:val="22"/>
          <w:szCs w:val="22"/>
        </w:rPr>
      </w:pPr>
      <w:r w:rsidRPr="00067A49">
        <w:rPr>
          <w:sz w:val="22"/>
          <w:szCs w:val="22"/>
        </w:rPr>
        <w:t xml:space="preserve">TG-MM </w:t>
      </w:r>
      <w:r w:rsidR="006831EC">
        <w:rPr>
          <w:sz w:val="22"/>
          <w:szCs w:val="22"/>
        </w:rPr>
        <w:t>has discussed how most properly and efficiently to continue</w:t>
      </w:r>
      <w:r w:rsidRPr="00067A49">
        <w:rPr>
          <w:sz w:val="22"/>
          <w:szCs w:val="22"/>
        </w:rPr>
        <w:t xml:space="preserve"> the dialogue between the TWSC and the DenGerNeth/MARAD Group,</w:t>
      </w:r>
      <w:r w:rsidR="006831EC">
        <w:rPr>
          <w:sz w:val="22"/>
          <w:szCs w:val="22"/>
        </w:rPr>
        <w:t xml:space="preserve"> including</w:t>
      </w:r>
      <w:r w:rsidRPr="00067A49">
        <w:rPr>
          <w:sz w:val="22"/>
          <w:szCs w:val="22"/>
        </w:rPr>
        <w:t xml:space="preserve"> that </w:t>
      </w:r>
      <w:r w:rsidR="006831EC">
        <w:rPr>
          <w:sz w:val="22"/>
          <w:szCs w:val="22"/>
        </w:rPr>
        <w:t xml:space="preserve">further </w:t>
      </w:r>
      <w:r w:rsidRPr="00067A49">
        <w:rPr>
          <w:sz w:val="22"/>
          <w:szCs w:val="22"/>
        </w:rPr>
        <w:t>effort should be made to organize a corresponding workshop after the unsuccessful attempts the year before. Furthermore, it was decided that CWSS will draft a note (initially to WSB) to the DenGerNeth/MARAD Group to inform on any developments after the conference</w:t>
      </w:r>
      <w:r w:rsidR="005F7195">
        <w:rPr>
          <w:sz w:val="22"/>
          <w:szCs w:val="22"/>
        </w:rPr>
        <w:t xml:space="preserve"> and to acknowledge th</w:t>
      </w:r>
      <w:r w:rsidR="005538E0">
        <w:rPr>
          <w:sz w:val="22"/>
          <w:szCs w:val="22"/>
        </w:rPr>
        <w:t>eir</w:t>
      </w:r>
      <w:r w:rsidR="005F7195">
        <w:rPr>
          <w:sz w:val="22"/>
          <w:szCs w:val="22"/>
        </w:rPr>
        <w:t xml:space="preserve"> effort</w:t>
      </w:r>
      <w:r w:rsidRPr="00067A49">
        <w:rPr>
          <w:sz w:val="22"/>
          <w:szCs w:val="22"/>
        </w:rPr>
        <w:t>.</w:t>
      </w:r>
    </w:p>
    <w:p w14:paraId="2D31E385" w14:textId="77777777" w:rsidR="00067A49" w:rsidRDefault="00067A49" w:rsidP="00067A49">
      <w:pPr>
        <w:spacing w:line="276" w:lineRule="auto"/>
        <w:rPr>
          <w:sz w:val="22"/>
          <w:szCs w:val="22"/>
        </w:rPr>
      </w:pPr>
      <w:r w:rsidRPr="00067A49">
        <w:rPr>
          <w:sz w:val="22"/>
          <w:szCs w:val="22"/>
        </w:rPr>
        <w:t xml:space="preserve">It was noted that the </w:t>
      </w:r>
      <w:r w:rsidR="005F7195">
        <w:rPr>
          <w:sz w:val="22"/>
          <w:szCs w:val="22"/>
        </w:rPr>
        <w:t>‘C</w:t>
      </w:r>
      <w:r w:rsidRPr="00067A49">
        <w:rPr>
          <w:sz w:val="22"/>
          <w:szCs w:val="22"/>
        </w:rPr>
        <w:t xml:space="preserve">all for </w:t>
      </w:r>
      <w:r w:rsidR="005F7195">
        <w:rPr>
          <w:sz w:val="22"/>
          <w:szCs w:val="22"/>
        </w:rPr>
        <w:t>A</w:t>
      </w:r>
      <w:r w:rsidRPr="00067A49">
        <w:rPr>
          <w:sz w:val="22"/>
          <w:szCs w:val="22"/>
        </w:rPr>
        <w:t>ction</w:t>
      </w:r>
      <w:r w:rsidR="005F7195">
        <w:rPr>
          <w:sz w:val="22"/>
          <w:szCs w:val="22"/>
        </w:rPr>
        <w:t>’</w:t>
      </w:r>
      <w:r w:rsidRPr="00067A49">
        <w:rPr>
          <w:sz w:val="22"/>
          <w:szCs w:val="22"/>
        </w:rPr>
        <w:t xml:space="preserve"> from the trilateral NGOs, presented during WSB 27 in Copenhagen, explicitly </w:t>
      </w:r>
      <w:r w:rsidR="005F7195">
        <w:rPr>
          <w:sz w:val="22"/>
          <w:szCs w:val="22"/>
        </w:rPr>
        <w:t>mentioned</w:t>
      </w:r>
      <w:r w:rsidRPr="00067A49">
        <w:rPr>
          <w:sz w:val="22"/>
          <w:szCs w:val="22"/>
        </w:rPr>
        <w:t xml:space="preserve"> shipping</w:t>
      </w:r>
      <w:r w:rsidR="005F7195">
        <w:rPr>
          <w:sz w:val="22"/>
          <w:szCs w:val="22"/>
        </w:rPr>
        <w:t xml:space="preserve"> and TG-MM</w:t>
      </w:r>
      <w:r w:rsidRPr="00067A49">
        <w:rPr>
          <w:sz w:val="22"/>
          <w:szCs w:val="22"/>
        </w:rPr>
        <w:t xml:space="preserve"> </w:t>
      </w:r>
      <w:r w:rsidR="005F7195">
        <w:rPr>
          <w:sz w:val="22"/>
          <w:szCs w:val="22"/>
        </w:rPr>
        <w:t>noted that n</w:t>
      </w:r>
      <w:r w:rsidRPr="00067A49">
        <w:rPr>
          <w:sz w:val="22"/>
          <w:szCs w:val="22"/>
        </w:rPr>
        <w:t xml:space="preserve">ext steps should be initiated by the parties. </w:t>
      </w:r>
    </w:p>
    <w:p w14:paraId="6DF233FD" w14:textId="77777777" w:rsidR="00067A49" w:rsidRPr="00067A49" w:rsidRDefault="00067A49" w:rsidP="00067A49">
      <w:pPr>
        <w:rPr>
          <w:sz w:val="22"/>
          <w:szCs w:val="22"/>
        </w:rPr>
      </w:pPr>
    </w:p>
    <w:p w14:paraId="7FC16678" w14:textId="77777777" w:rsidR="00067A49" w:rsidRPr="00067A49" w:rsidRDefault="00067A49" w:rsidP="00067A49">
      <w:pPr>
        <w:rPr>
          <w:b/>
          <w:sz w:val="22"/>
          <w:szCs w:val="22"/>
        </w:rPr>
      </w:pPr>
      <w:r w:rsidRPr="00067A49">
        <w:rPr>
          <w:b/>
          <w:sz w:val="22"/>
          <w:szCs w:val="22"/>
        </w:rPr>
        <w:t>Proposal:</w:t>
      </w:r>
      <w:r w:rsidRPr="00067A49">
        <w:rPr>
          <w:b/>
          <w:sz w:val="22"/>
          <w:szCs w:val="22"/>
        </w:rPr>
        <w:tab/>
        <w:t>WSB is invited to endorse the approach.</w:t>
      </w:r>
    </w:p>
    <w:p w14:paraId="398509A6" w14:textId="77777777" w:rsidR="00067A49" w:rsidRDefault="00067A49" w:rsidP="00067A49">
      <w:pPr>
        <w:spacing w:before="240"/>
      </w:pPr>
    </w:p>
    <w:p w14:paraId="3FCFE91D" w14:textId="77777777" w:rsidR="00067A49" w:rsidRPr="005538E0" w:rsidRDefault="00067A49" w:rsidP="00067A49">
      <w:pPr>
        <w:rPr>
          <w:rFonts w:ascii="Arial" w:hAnsi="Arial" w:cs="Arial"/>
          <w:b/>
          <w:sz w:val="22"/>
          <w:szCs w:val="22"/>
        </w:rPr>
      </w:pPr>
      <w:r w:rsidRPr="005538E0">
        <w:rPr>
          <w:rFonts w:ascii="Arial" w:hAnsi="Arial" w:cs="Arial"/>
          <w:b/>
          <w:sz w:val="22"/>
          <w:szCs w:val="22"/>
        </w:rPr>
        <w:t>Trilateral Research Agenda</w:t>
      </w:r>
    </w:p>
    <w:p w14:paraId="262EE623" w14:textId="77777777" w:rsidR="00067A49" w:rsidRPr="00067A49" w:rsidRDefault="00067A49" w:rsidP="00067A49">
      <w:pPr>
        <w:rPr>
          <w:rFonts w:ascii="Arial" w:hAnsi="Arial" w:cs="Arial"/>
          <w:b/>
        </w:rPr>
      </w:pPr>
    </w:p>
    <w:p w14:paraId="703F9611" w14:textId="07D3DE2F" w:rsidR="00067A49" w:rsidRPr="00067A49" w:rsidRDefault="002B0C23" w:rsidP="00067A49">
      <w:pPr>
        <w:spacing w:line="276" w:lineRule="auto"/>
        <w:rPr>
          <w:sz w:val="22"/>
          <w:szCs w:val="22"/>
        </w:rPr>
      </w:pPr>
      <w:r>
        <w:rPr>
          <w:sz w:val="22"/>
          <w:szCs w:val="22"/>
        </w:rPr>
        <w:t>TG-MM welcomed the Dutch proposal for ToR for the TRA Programming Committee. On request by Germany, a</w:t>
      </w:r>
      <w:r w:rsidR="00067A49" w:rsidRPr="00067A49">
        <w:rPr>
          <w:sz w:val="22"/>
          <w:szCs w:val="22"/>
        </w:rPr>
        <w:t>ny further decision</w:t>
      </w:r>
      <w:r w:rsidR="005538E0">
        <w:rPr>
          <w:sz w:val="22"/>
          <w:szCs w:val="22"/>
        </w:rPr>
        <w:t>s</w:t>
      </w:r>
      <w:r w:rsidR="00067A49" w:rsidRPr="00067A49">
        <w:rPr>
          <w:sz w:val="22"/>
          <w:szCs w:val="22"/>
        </w:rPr>
        <w:t xml:space="preserve"> on the ToR w</w:t>
      </w:r>
      <w:r w:rsidR="005538E0">
        <w:rPr>
          <w:sz w:val="22"/>
          <w:szCs w:val="22"/>
        </w:rPr>
        <w:t xml:space="preserve">ere </w:t>
      </w:r>
      <w:r w:rsidR="00067A49" w:rsidRPr="00067A49">
        <w:rPr>
          <w:sz w:val="22"/>
          <w:szCs w:val="22"/>
        </w:rPr>
        <w:t>postponed as a</w:t>
      </w:r>
      <w:r w:rsidR="00936B52">
        <w:rPr>
          <w:sz w:val="22"/>
          <w:szCs w:val="22"/>
        </w:rPr>
        <w:t xml:space="preserve"> detailed determination of tasks and obligations of such </w:t>
      </w:r>
      <w:r w:rsidR="00C231AF">
        <w:rPr>
          <w:sz w:val="22"/>
          <w:szCs w:val="22"/>
        </w:rPr>
        <w:t xml:space="preserve">a </w:t>
      </w:r>
      <w:r w:rsidR="00936B52">
        <w:rPr>
          <w:sz w:val="22"/>
          <w:szCs w:val="22"/>
        </w:rPr>
        <w:t>committee and the nomination of delegates</w:t>
      </w:r>
      <w:r w:rsidR="00067A49" w:rsidRPr="00067A49">
        <w:rPr>
          <w:sz w:val="22"/>
          <w:szCs w:val="22"/>
        </w:rPr>
        <w:t xml:space="preserve">, but also of the role of CWSS, would </w:t>
      </w:r>
      <w:r w:rsidR="00936B52">
        <w:rPr>
          <w:sz w:val="22"/>
          <w:szCs w:val="22"/>
        </w:rPr>
        <w:t>need further discussion</w:t>
      </w:r>
      <w:r w:rsidR="00067A49" w:rsidRPr="00067A49">
        <w:rPr>
          <w:sz w:val="22"/>
          <w:szCs w:val="22"/>
        </w:rPr>
        <w:t xml:space="preserve">. </w:t>
      </w:r>
    </w:p>
    <w:p w14:paraId="526D03B5" w14:textId="77777777" w:rsidR="00067A49" w:rsidRDefault="00067A49" w:rsidP="00067A49">
      <w:pPr>
        <w:spacing w:line="276" w:lineRule="auto"/>
        <w:rPr>
          <w:sz w:val="22"/>
          <w:szCs w:val="22"/>
        </w:rPr>
      </w:pPr>
      <w:r w:rsidRPr="00067A49">
        <w:rPr>
          <w:sz w:val="22"/>
          <w:szCs w:val="22"/>
        </w:rPr>
        <w:lastRenderedPageBreak/>
        <w:t>The joint TRA paper ha</w:t>
      </w:r>
      <w:r w:rsidR="005538E0">
        <w:rPr>
          <w:sz w:val="22"/>
          <w:szCs w:val="22"/>
        </w:rPr>
        <w:t>d</w:t>
      </w:r>
      <w:r w:rsidRPr="00067A49">
        <w:rPr>
          <w:sz w:val="22"/>
          <w:szCs w:val="22"/>
        </w:rPr>
        <w:t xml:space="preserve"> been finalized between TG-WH and TG-MM for submission to WSB as a separate document.</w:t>
      </w:r>
    </w:p>
    <w:p w14:paraId="3B342892" w14:textId="77777777" w:rsidR="00067A49" w:rsidRPr="00067A49" w:rsidRDefault="00067A49" w:rsidP="00067A49">
      <w:pPr>
        <w:spacing w:line="276" w:lineRule="auto"/>
        <w:rPr>
          <w:sz w:val="22"/>
          <w:szCs w:val="22"/>
        </w:rPr>
      </w:pPr>
    </w:p>
    <w:p w14:paraId="7362293A" w14:textId="668367ED" w:rsidR="00067A49" w:rsidRDefault="00067A49" w:rsidP="008A6688">
      <w:pPr>
        <w:spacing w:line="276" w:lineRule="auto"/>
        <w:ind w:left="1440" w:hanging="1440"/>
        <w:rPr>
          <w:b/>
          <w:sz w:val="22"/>
          <w:szCs w:val="22"/>
        </w:rPr>
      </w:pPr>
      <w:r w:rsidRPr="00067A49">
        <w:rPr>
          <w:b/>
          <w:sz w:val="22"/>
          <w:szCs w:val="22"/>
        </w:rPr>
        <w:t>Proposal:</w:t>
      </w:r>
      <w:r w:rsidRPr="00067A49">
        <w:rPr>
          <w:b/>
          <w:sz w:val="22"/>
          <w:szCs w:val="22"/>
        </w:rPr>
        <w:tab/>
        <w:t>WSB is invited to note the information and to guide on the further process.</w:t>
      </w:r>
    </w:p>
    <w:p w14:paraId="5A36E9AE" w14:textId="77777777" w:rsidR="008A6688" w:rsidRPr="008A6688" w:rsidRDefault="008A6688" w:rsidP="008A6688">
      <w:pPr>
        <w:spacing w:line="276" w:lineRule="auto"/>
        <w:ind w:left="1440" w:hanging="1440"/>
        <w:rPr>
          <w:b/>
          <w:sz w:val="22"/>
          <w:szCs w:val="22"/>
        </w:rPr>
      </w:pPr>
      <w:bookmarkStart w:id="1" w:name="_GoBack"/>
      <w:bookmarkEnd w:id="1"/>
    </w:p>
    <w:p w14:paraId="17D48F75" w14:textId="77777777" w:rsidR="00067A49" w:rsidRPr="005538E0" w:rsidRDefault="00067A49" w:rsidP="00067A49">
      <w:pPr>
        <w:rPr>
          <w:rFonts w:ascii="Arial" w:hAnsi="Arial" w:cs="Arial"/>
          <w:b/>
          <w:sz w:val="22"/>
          <w:szCs w:val="22"/>
        </w:rPr>
      </w:pPr>
      <w:r w:rsidRPr="005538E0">
        <w:rPr>
          <w:rFonts w:ascii="Arial" w:hAnsi="Arial" w:cs="Arial"/>
          <w:b/>
          <w:sz w:val="22"/>
          <w:szCs w:val="22"/>
        </w:rPr>
        <w:t>N2000 Roof Report</w:t>
      </w:r>
    </w:p>
    <w:p w14:paraId="509038DF" w14:textId="77777777" w:rsidR="00067A49" w:rsidRPr="00067A49" w:rsidRDefault="00067A49" w:rsidP="00067A49">
      <w:pPr>
        <w:rPr>
          <w:rFonts w:ascii="Arial" w:hAnsi="Arial" w:cs="Arial"/>
          <w:b/>
        </w:rPr>
      </w:pPr>
    </w:p>
    <w:p w14:paraId="5A4C5884" w14:textId="4F26FB23" w:rsidR="00067A49" w:rsidRDefault="00067A49" w:rsidP="00067A49">
      <w:pPr>
        <w:spacing w:line="276" w:lineRule="auto"/>
        <w:rPr>
          <w:sz w:val="22"/>
          <w:szCs w:val="22"/>
        </w:rPr>
      </w:pPr>
      <w:r w:rsidRPr="00067A49">
        <w:rPr>
          <w:sz w:val="22"/>
          <w:szCs w:val="22"/>
        </w:rPr>
        <w:t xml:space="preserve">CWSS </w:t>
      </w:r>
      <w:r w:rsidR="00090ACE">
        <w:rPr>
          <w:sz w:val="22"/>
          <w:szCs w:val="22"/>
        </w:rPr>
        <w:t>is</w:t>
      </w:r>
      <w:r w:rsidRPr="00067A49">
        <w:rPr>
          <w:sz w:val="22"/>
          <w:szCs w:val="22"/>
        </w:rPr>
        <w:t xml:space="preserve"> in negotiation with </w:t>
      </w:r>
      <w:r w:rsidR="00090ACE">
        <w:rPr>
          <w:sz w:val="22"/>
          <w:szCs w:val="22"/>
        </w:rPr>
        <w:t>a</w:t>
      </w:r>
      <w:r w:rsidRPr="00067A49">
        <w:rPr>
          <w:sz w:val="22"/>
          <w:szCs w:val="22"/>
        </w:rPr>
        <w:t xml:space="preserve"> Danish </w:t>
      </w:r>
      <w:r w:rsidR="00090ACE">
        <w:rPr>
          <w:sz w:val="22"/>
          <w:szCs w:val="22"/>
        </w:rPr>
        <w:t>institute</w:t>
      </w:r>
      <w:r w:rsidRPr="00067A49">
        <w:rPr>
          <w:sz w:val="22"/>
          <w:szCs w:val="22"/>
        </w:rPr>
        <w:t xml:space="preserve"> o</w:t>
      </w:r>
      <w:r w:rsidR="005F7195">
        <w:rPr>
          <w:sz w:val="22"/>
          <w:szCs w:val="22"/>
        </w:rPr>
        <w:t>n</w:t>
      </w:r>
      <w:r w:rsidRPr="00067A49">
        <w:rPr>
          <w:sz w:val="22"/>
          <w:szCs w:val="22"/>
        </w:rPr>
        <w:t xml:space="preserve"> the creation of a N2000 </w:t>
      </w:r>
      <w:r w:rsidR="005F7195">
        <w:rPr>
          <w:sz w:val="22"/>
          <w:szCs w:val="22"/>
        </w:rPr>
        <w:t>Roof R</w:t>
      </w:r>
      <w:r w:rsidRPr="00067A49">
        <w:rPr>
          <w:sz w:val="22"/>
          <w:szCs w:val="22"/>
        </w:rPr>
        <w:t xml:space="preserve">eport, initially foreseen for 2018. </w:t>
      </w:r>
      <w:r w:rsidR="00090ACE">
        <w:rPr>
          <w:sz w:val="22"/>
          <w:szCs w:val="22"/>
        </w:rPr>
        <w:t xml:space="preserve"> Pending the solution of internal resource issues by the institute, an agreement is expected to be drawn up shortly. A major challenge, </w:t>
      </w:r>
      <w:r w:rsidR="00A02E43">
        <w:rPr>
          <w:sz w:val="22"/>
          <w:szCs w:val="22"/>
        </w:rPr>
        <w:t>however,</w:t>
      </w:r>
      <w:r w:rsidR="00090ACE">
        <w:rPr>
          <w:sz w:val="22"/>
          <w:szCs w:val="22"/>
        </w:rPr>
        <w:t xml:space="preserve"> are difficulties in the comparison of the national data from the </w:t>
      </w:r>
      <w:r w:rsidR="00A02E43">
        <w:rPr>
          <w:sz w:val="22"/>
          <w:szCs w:val="22"/>
        </w:rPr>
        <w:t>three</w:t>
      </w:r>
      <w:r w:rsidR="00090ACE">
        <w:rPr>
          <w:sz w:val="22"/>
          <w:szCs w:val="22"/>
        </w:rPr>
        <w:t xml:space="preserve"> </w:t>
      </w:r>
      <w:r w:rsidR="00A02E43">
        <w:rPr>
          <w:sz w:val="22"/>
          <w:szCs w:val="22"/>
        </w:rPr>
        <w:t>countries</w:t>
      </w:r>
      <w:r w:rsidR="00090ACE">
        <w:rPr>
          <w:sz w:val="22"/>
          <w:szCs w:val="22"/>
        </w:rPr>
        <w:t>.</w:t>
      </w:r>
    </w:p>
    <w:p w14:paraId="257D4143" w14:textId="77777777" w:rsidR="00A02E43" w:rsidRPr="00067A49" w:rsidRDefault="00A02E43" w:rsidP="00067A49">
      <w:pPr>
        <w:spacing w:line="276" w:lineRule="auto"/>
        <w:rPr>
          <w:sz w:val="22"/>
          <w:szCs w:val="22"/>
        </w:rPr>
      </w:pPr>
    </w:p>
    <w:p w14:paraId="3DEC9945" w14:textId="77777777" w:rsidR="000851DE" w:rsidRPr="00067A49" w:rsidRDefault="00067A49" w:rsidP="00067A49">
      <w:pPr>
        <w:spacing w:line="276" w:lineRule="auto"/>
        <w:rPr>
          <w:b/>
          <w:sz w:val="22"/>
          <w:szCs w:val="22"/>
        </w:rPr>
      </w:pPr>
      <w:r w:rsidRPr="00067A49">
        <w:rPr>
          <w:b/>
          <w:sz w:val="22"/>
          <w:szCs w:val="22"/>
        </w:rPr>
        <w:t>Proposal:</w:t>
      </w:r>
      <w:r w:rsidRPr="00067A49">
        <w:rPr>
          <w:b/>
          <w:sz w:val="22"/>
          <w:szCs w:val="22"/>
        </w:rPr>
        <w:tab/>
        <w:t>WSB is invited to note the information.</w:t>
      </w:r>
    </w:p>
    <w:sectPr w:rsidR="000851DE" w:rsidRPr="00067A49" w:rsidSect="001C042F">
      <w:headerReference w:type="default" r:id="rId9"/>
      <w:foot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89A5A" w14:textId="77777777" w:rsidR="005B19EE" w:rsidRDefault="005B19EE" w:rsidP="00067A49">
      <w:r>
        <w:separator/>
      </w:r>
    </w:p>
  </w:endnote>
  <w:endnote w:type="continuationSeparator" w:id="0">
    <w:p w14:paraId="7536F896" w14:textId="77777777" w:rsidR="005B19EE" w:rsidRDefault="005B19EE" w:rsidP="0006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434B3" w14:textId="290D69E4" w:rsidR="00357EE8" w:rsidRDefault="005F7195"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8404A3">
      <w:rPr>
        <w:noProof/>
        <w:sz w:val="20"/>
        <w:szCs w:val="20"/>
      </w:rPr>
      <w:t>3</w:t>
    </w:r>
    <w:r w:rsidRPr="00884A64">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67A0C" w14:textId="77777777" w:rsidR="005B19EE" w:rsidRDefault="005B19EE" w:rsidP="00067A49">
      <w:r>
        <w:separator/>
      </w:r>
    </w:p>
  </w:footnote>
  <w:footnote w:type="continuationSeparator" w:id="0">
    <w:p w14:paraId="4D659394" w14:textId="77777777" w:rsidR="005B19EE" w:rsidRDefault="005B19EE" w:rsidP="00067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07B3B" w14:textId="77777777" w:rsidR="001C042F" w:rsidRPr="00FF5F12" w:rsidRDefault="005F7195" w:rsidP="001C042F">
    <w:pPr>
      <w:pStyle w:val="Kopfzeile"/>
      <w:jc w:val="both"/>
      <w:rPr>
        <w:sz w:val="16"/>
        <w:szCs w:val="16"/>
      </w:rPr>
    </w:pPr>
    <w:r w:rsidRPr="00FF5F12">
      <w:rPr>
        <w:sz w:val="16"/>
        <w:szCs w:val="16"/>
      </w:rPr>
      <w:t>WSB 2</w:t>
    </w:r>
    <w:r w:rsidR="00067A49">
      <w:rPr>
        <w:sz w:val="16"/>
        <w:szCs w:val="16"/>
      </w:rPr>
      <w:t>8</w:t>
    </w:r>
    <w:r w:rsidRPr="00FF5F12">
      <w:rPr>
        <w:sz w:val="16"/>
        <w:szCs w:val="16"/>
      </w:rPr>
      <w:t xml:space="preserve">/5.2/1 TG-MM Report </w:t>
    </w:r>
    <w:r w:rsidRPr="00FF5F12">
      <w:rPr>
        <w:sz w:val="16"/>
        <w:szCs w:val="16"/>
      </w:rPr>
      <w:tab/>
    </w:r>
    <w:r w:rsidRPr="00FF5F12">
      <w:rPr>
        <w:sz w:val="16"/>
        <w:szCs w:val="16"/>
      </w:rPr>
      <w:tab/>
    </w:r>
    <w:r w:rsidRPr="00FF5F12">
      <w:rPr>
        <w:sz w:val="16"/>
        <w:szCs w:val="16"/>
      </w:rPr>
      <w:tab/>
    </w:r>
    <w:r w:rsidRPr="00FF5F12">
      <w:rPr>
        <w:sz w:val="16"/>
        <w:szCs w:val="16"/>
      </w:rPr>
      <w:tab/>
    </w:r>
  </w:p>
  <w:p w14:paraId="06346D64" w14:textId="77777777" w:rsidR="001C042F" w:rsidRPr="00884A64" w:rsidRDefault="005B19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49"/>
    <w:rsid w:val="00005934"/>
    <w:rsid w:val="00047394"/>
    <w:rsid w:val="00056B15"/>
    <w:rsid w:val="00067A49"/>
    <w:rsid w:val="000851DE"/>
    <w:rsid w:val="00090ACE"/>
    <w:rsid w:val="000B1F44"/>
    <w:rsid w:val="000D38AF"/>
    <w:rsid w:val="001339D3"/>
    <w:rsid w:val="00223E1C"/>
    <w:rsid w:val="002B0C23"/>
    <w:rsid w:val="002C67CF"/>
    <w:rsid w:val="00312720"/>
    <w:rsid w:val="00313306"/>
    <w:rsid w:val="003E05ED"/>
    <w:rsid w:val="0040709D"/>
    <w:rsid w:val="00442252"/>
    <w:rsid w:val="005538E0"/>
    <w:rsid w:val="005B19EE"/>
    <w:rsid w:val="005F7195"/>
    <w:rsid w:val="00621D16"/>
    <w:rsid w:val="006831EC"/>
    <w:rsid w:val="006861F7"/>
    <w:rsid w:val="0073358E"/>
    <w:rsid w:val="008404A3"/>
    <w:rsid w:val="008A6688"/>
    <w:rsid w:val="008C0DF2"/>
    <w:rsid w:val="008F58F3"/>
    <w:rsid w:val="00936B52"/>
    <w:rsid w:val="00973026"/>
    <w:rsid w:val="00A02E43"/>
    <w:rsid w:val="00A226BB"/>
    <w:rsid w:val="00BB5C41"/>
    <w:rsid w:val="00BC1A78"/>
    <w:rsid w:val="00C231AF"/>
    <w:rsid w:val="00C60F13"/>
    <w:rsid w:val="00D62D8A"/>
    <w:rsid w:val="00D942ED"/>
    <w:rsid w:val="00DC3E9D"/>
    <w:rsid w:val="00E15D72"/>
    <w:rsid w:val="00E97280"/>
    <w:rsid w:val="00F179F7"/>
    <w:rsid w:val="00F30665"/>
    <w:rsid w:val="00F54A5C"/>
    <w:rsid w:val="00F566FD"/>
    <w:rsid w:val="00F72405"/>
    <w:rsid w:val="00FD5F4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B8DA5"/>
  <w15:docId w15:val="{236099D8-F86C-4E6C-BD3B-1580087F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67A4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67A49"/>
    <w:pPr>
      <w:tabs>
        <w:tab w:val="center" w:pos="4703"/>
        <w:tab w:val="right" w:pos="9406"/>
      </w:tabs>
    </w:pPr>
  </w:style>
  <w:style w:type="character" w:customStyle="1" w:styleId="KopfzeileZchn">
    <w:name w:val="Kopfzeile Zchn"/>
    <w:basedOn w:val="Absatz-Standardschriftart"/>
    <w:link w:val="Kopfzeile"/>
    <w:uiPriority w:val="99"/>
    <w:rsid w:val="00067A49"/>
    <w:rPr>
      <w:rFonts w:ascii="Times New Roman" w:eastAsia="Times New Roman" w:hAnsi="Times New Roman" w:cs="Times New Roman"/>
      <w:sz w:val="24"/>
      <w:szCs w:val="24"/>
      <w:lang w:val="en-US"/>
    </w:rPr>
  </w:style>
  <w:style w:type="paragraph" w:styleId="Fuzeile">
    <w:name w:val="footer"/>
    <w:basedOn w:val="Standard"/>
    <w:link w:val="FuzeileZchn"/>
    <w:rsid w:val="00067A49"/>
    <w:pPr>
      <w:tabs>
        <w:tab w:val="center" w:pos="4703"/>
        <w:tab w:val="right" w:pos="9406"/>
      </w:tabs>
    </w:pPr>
  </w:style>
  <w:style w:type="character" w:customStyle="1" w:styleId="FuzeileZchn">
    <w:name w:val="Fußzeile Zchn"/>
    <w:basedOn w:val="Absatz-Standardschriftart"/>
    <w:link w:val="Fuzeile"/>
    <w:rsid w:val="00067A49"/>
    <w:rPr>
      <w:rFonts w:ascii="Times New Roman" w:eastAsia="Times New Roman" w:hAnsi="Times New Roman" w:cs="Times New Roman"/>
      <w:sz w:val="24"/>
      <w:szCs w:val="24"/>
      <w:lang w:val="en-US"/>
    </w:rPr>
  </w:style>
  <w:style w:type="paragraph" w:styleId="Textkrper">
    <w:name w:val="Body Text"/>
    <w:basedOn w:val="Standard"/>
    <w:link w:val="TextkrperZchn"/>
    <w:rsid w:val="00067A49"/>
    <w:rPr>
      <w:rFonts w:ascii="Arial" w:hAnsi="Arial" w:cs="Arial"/>
      <w:sz w:val="20"/>
      <w:lang w:eastAsia="de-DE"/>
    </w:rPr>
  </w:style>
  <w:style w:type="character" w:customStyle="1" w:styleId="TextkrperZchn">
    <w:name w:val="Textkörper Zchn"/>
    <w:basedOn w:val="Absatz-Standardschriftart"/>
    <w:link w:val="Textkrper"/>
    <w:rsid w:val="00067A49"/>
    <w:rPr>
      <w:rFonts w:ascii="Arial" w:eastAsia="Times New Roman" w:hAnsi="Arial" w:cs="Arial"/>
      <w:sz w:val="20"/>
      <w:szCs w:val="24"/>
      <w:lang w:val="en-US" w:eastAsia="de-DE"/>
    </w:rPr>
  </w:style>
  <w:style w:type="paragraph" w:styleId="Sprechblasentext">
    <w:name w:val="Balloon Text"/>
    <w:basedOn w:val="Standard"/>
    <w:link w:val="SprechblasentextZchn"/>
    <w:uiPriority w:val="99"/>
    <w:semiHidden/>
    <w:unhideWhenUsed/>
    <w:rsid w:val="00067A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7A49"/>
    <w:rPr>
      <w:rFonts w:ascii="Segoe UI" w:eastAsia="Times New Roman" w:hAnsi="Segoe UI" w:cs="Segoe UI"/>
      <w:sz w:val="18"/>
      <w:szCs w:val="18"/>
      <w:lang w:val="en-US"/>
    </w:rPr>
  </w:style>
  <w:style w:type="character" w:styleId="Hyperlink">
    <w:name w:val="Hyperlink"/>
    <w:basedOn w:val="Absatz-Standardschriftart"/>
    <w:uiPriority w:val="99"/>
    <w:unhideWhenUsed/>
    <w:rsid w:val="00312720"/>
    <w:rPr>
      <w:color w:val="0563C1" w:themeColor="hyperlink"/>
      <w:u w:val="single"/>
    </w:rPr>
  </w:style>
  <w:style w:type="character" w:customStyle="1" w:styleId="NichtaufgelsteErwhnung1">
    <w:name w:val="Nicht aufgelöste Erwähnung1"/>
    <w:basedOn w:val="Absatz-Standardschriftart"/>
    <w:uiPriority w:val="99"/>
    <w:semiHidden/>
    <w:unhideWhenUsed/>
    <w:rsid w:val="00312720"/>
    <w:rPr>
      <w:color w:val="605E5C"/>
      <w:shd w:val="clear" w:color="auto" w:fill="E1DFDD"/>
    </w:rPr>
  </w:style>
  <w:style w:type="character" w:styleId="BesuchterLink">
    <w:name w:val="FollowedHyperlink"/>
    <w:basedOn w:val="Absatz-Standardschriftart"/>
    <w:uiPriority w:val="99"/>
    <w:semiHidden/>
    <w:unhideWhenUsed/>
    <w:rsid w:val="00312720"/>
    <w:rPr>
      <w:color w:val="954F72" w:themeColor="followedHyperlink"/>
      <w:u w:val="single"/>
    </w:rPr>
  </w:style>
  <w:style w:type="character" w:styleId="Kommentarzeichen">
    <w:name w:val="annotation reference"/>
    <w:basedOn w:val="Absatz-Standardschriftart"/>
    <w:uiPriority w:val="99"/>
    <w:semiHidden/>
    <w:unhideWhenUsed/>
    <w:rsid w:val="00F72405"/>
    <w:rPr>
      <w:sz w:val="16"/>
      <w:szCs w:val="16"/>
    </w:rPr>
  </w:style>
  <w:style w:type="paragraph" w:styleId="Kommentartext">
    <w:name w:val="annotation text"/>
    <w:basedOn w:val="Standard"/>
    <w:link w:val="KommentartextZchn"/>
    <w:uiPriority w:val="99"/>
    <w:semiHidden/>
    <w:unhideWhenUsed/>
    <w:rsid w:val="00F72405"/>
    <w:rPr>
      <w:sz w:val="20"/>
      <w:szCs w:val="20"/>
    </w:rPr>
  </w:style>
  <w:style w:type="character" w:customStyle="1" w:styleId="KommentartextZchn">
    <w:name w:val="Kommentartext Zchn"/>
    <w:basedOn w:val="Absatz-Standardschriftart"/>
    <w:link w:val="Kommentartext"/>
    <w:uiPriority w:val="99"/>
    <w:semiHidden/>
    <w:rsid w:val="00F72405"/>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F72405"/>
    <w:rPr>
      <w:b/>
      <w:bCs/>
    </w:rPr>
  </w:style>
  <w:style w:type="character" w:customStyle="1" w:styleId="KommentarthemaZchn">
    <w:name w:val="Kommentarthema Zchn"/>
    <w:basedOn w:val="KommentartextZchn"/>
    <w:link w:val="Kommentarthema"/>
    <w:uiPriority w:val="99"/>
    <w:semiHidden/>
    <w:rsid w:val="00F72405"/>
    <w:rPr>
      <w:rFonts w:ascii="Times New Roman" w:eastAsia="Times New Roman" w:hAnsi="Times New Roman" w:cs="Times New Roman"/>
      <w:b/>
      <w:bCs/>
      <w:sz w:val="20"/>
      <w:szCs w:val="20"/>
      <w:lang w:val="en-US"/>
    </w:rPr>
  </w:style>
  <w:style w:type="character" w:customStyle="1" w:styleId="NichtaufgelsteErwhnung2">
    <w:name w:val="Nicht aufgelöste Erwähnung2"/>
    <w:basedOn w:val="Absatz-Standardschriftart"/>
    <w:uiPriority w:val="99"/>
    <w:semiHidden/>
    <w:unhideWhenUsed/>
    <w:rsid w:val="002B0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ddensea-worldheritage.org/events/bright-future-harbour-porpoises-wadden-sea" TargetMode="External"/><Relationship Id="rId3" Type="http://schemas.openxmlformats.org/officeDocument/2006/relationships/webSettings" Target="webSettings.xml"/><Relationship Id="rId7" Type="http://schemas.openxmlformats.org/officeDocument/2006/relationships/hyperlink" Target="https://www.waddensea-worldheritage.org/events/swimways-understanding-connectivity-within-life-cycles-coastal-fis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1476</Words>
  <Characters>8414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Sascha Klöpper</dc:creator>
  <cp:lastModifiedBy>Sascha Klöpper</cp:lastModifiedBy>
  <cp:revision>2</cp:revision>
  <cp:lastPrinted>2019-02-25T15:41:00Z</cp:lastPrinted>
  <dcterms:created xsi:type="dcterms:W3CDTF">2019-02-28T11:45:00Z</dcterms:created>
  <dcterms:modified xsi:type="dcterms:W3CDTF">2019-02-28T11:45:00Z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