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2C4C48" w14:textId="77777777" w:rsidR="0051143B" w:rsidRDefault="0051143B" w:rsidP="00E1406C">
      <w:pPr>
        <w:pStyle w:val="Kopfzeile"/>
        <w:rPr>
          <w:lang w:eastAsia="de-DE"/>
        </w:rPr>
      </w:pPr>
    </w:p>
    <w:p w14:paraId="5E9BEE40" w14:textId="77777777" w:rsidR="00512939" w:rsidRPr="00884A64" w:rsidRDefault="00512939" w:rsidP="00512939">
      <w:pPr>
        <w:spacing w:line="360" w:lineRule="auto"/>
        <w:jc w:val="center"/>
        <w:rPr>
          <w:sz w:val="20"/>
          <w:szCs w:val="20"/>
        </w:rPr>
      </w:pPr>
      <w:r w:rsidRPr="00884A64">
        <w:rPr>
          <w:noProof/>
          <w:sz w:val="20"/>
          <w:szCs w:val="20"/>
          <w:lang w:val="de-DE" w:eastAsia="de-DE"/>
        </w:rPr>
        <mc:AlternateContent>
          <mc:Choice Requires="wps">
            <w:drawing>
              <wp:anchor distT="0" distB="0" distL="114300" distR="114300" simplePos="0" relativeHeight="251659264" behindDoc="0" locked="0" layoutInCell="1" allowOverlap="1" wp14:anchorId="53B372DD" wp14:editId="264A6B0B">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E86BF4" w14:textId="77777777" w:rsidR="00512939" w:rsidRDefault="00512939" w:rsidP="00512939">
                            <w:pPr>
                              <w:jc w:val="center"/>
                              <w:rPr>
                                <w:rFonts w:ascii="Arial" w:hAnsi="Arial" w:cs="Arial"/>
                                <w:b/>
                                <w:bCs/>
                              </w:rPr>
                            </w:pPr>
                          </w:p>
                          <w:p w14:paraId="69825444" w14:textId="77777777" w:rsidR="00512939" w:rsidRPr="00900B48" w:rsidRDefault="00512939" w:rsidP="00512939">
                            <w:pPr>
                              <w:spacing w:after="120"/>
                              <w:jc w:val="center"/>
                              <w:rPr>
                                <w:rFonts w:ascii="Arial" w:hAnsi="Arial" w:cs="Arial"/>
                                <w:bCs/>
                                <w:sz w:val="28"/>
                                <w:szCs w:val="32"/>
                              </w:rPr>
                            </w:pPr>
                            <w:r w:rsidRPr="00900B48">
                              <w:rPr>
                                <w:rFonts w:ascii="Arial" w:hAnsi="Arial" w:cs="Arial"/>
                                <w:bCs/>
                                <w:sz w:val="28"/>
                                <w:szCs w:val="32"/>
                              </w:rPr>
                              <w:t>Wadden Sea Board</w:t>
                            </w:r>
                          </w:p>
                          <w:p w14:paraId="47E7B2BB" w14:textId="77777777" w:rsidR="00512939" w:rsidRPr="00900B48" w:rsidRDefault="00512939" w:rsidP="00512939">
                            <w:pPr>
                              <w:spacing w:after="120"/>
                              <w:jc w:val="center"/>
                              <w:rPr>
                                <w:rFonts w:ascii="Arial" w:hAnsi="Arial" w:cs="Arial"/>
                                <w:b/>
                                <w:bCs/>
                                <w:szCs w:val="32"/>
                              </w:rPr>
                            </w:pPr>
                            <w:r w:rsidRPr="00900B48">
                              <w:rPr>
                                <w:rFonts w:ascii="Arial" w:hAnsi="Arial" w:cs="Arial"/>
                                <w:b/>
                                <w:bCs/>
                                <w:szCs w:val="32"/>
                              </w:rPr>
                              <w:t xml:space="preserve">WSB </w:t>
                            </w:r>
                            <w:r>
                              <w:rPr>
                                <w:rFonts w:ascii="Arial" w:hAnsi="Arial" w:cs="Arial"/>
                                <w:b/>
                                <w:bCs/>
                                <w:szCs w:val="32"/>
                              </w:rPr>
                              <w:t>28</w:t>
                            </w:r>
                          </w:p>
                          <w:p w14:paraId="1EC09DB5" w14:textId="77777777" w:rsidR="00512939" w:rsidRPr="00884A64" w:rsidRDefault="00512939" w:rsidP="00512939">
                            <w:pPr>
                              <w:jc w:val="center"/>
                              <w:rPr>
                                <w:bCs/>
                              </w:rPr>
                            </w:pPr>
                            <w:r>
                              <w:rPr>
                                <w:bCs/>
                              </w:rPr>
                              <w:t>14 March</w:t>
                            </w:r>
                            <w:r w:rsidRPr="00884A64">
                              <w:rPr>
                                <w:bCs/>
                              </w:rPr>
                              <w:t xml:space="preserve"> 201</w:t>
                            </w:r>
                            <w:r>
                              <w:rPr>
                                <w:bCs/>
                              </w:rPr>
                              <w:t>9</w:t>
                            </w:r>
                          </w:p>
                          <w:p w14:paraId="5E6EE033" w14:textId="77777777" w:rsidR="00512939" w:rsidRPr="00884A64" w:rsidRDefault="00512939" w:rsidP="00512939">
                            <w:pPr>
                              <w:jc w:val="center"/>
                              <w:rPr>
                                <w:bCs/>
                              </w:rPr>
                            </w:pPr>
                            <w:r>
                              <w:rPr>
                                <w:bCs/>
                              </w:rPr>
                              <w:t>Berlin</w:t>
                            </w:r>
                            <w:r w:rsidRPr="00884A64">
                              <w:rPr>
                                <w:bCs/>
                              </w:rPr>
                              <w:t xml:space="preserve">, </w:t>
                            </w:r>
                            <w:r>
                              <w:rPr>
                                <w:bCs/>
                              </w:rPr>
                              <w:t>Germany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B372DD" id="_x0000_t202" coordsize="21600,21600" o:spt="202" path="m,l,21600r21600,l21600,xe">
                <v:stroke joinstyle="miter"/>
                <v:path gradientshapeok="t" o:connecttype="rect"/>
              </v:shapetype>
              <v:shape id="Text Box 2" o:spid="_x0000_s1026" type="#_x0000_t202" style="position:absolute;left:0;text-align:left;margin-left:99pt;margin-top:4.65pt;width:180pt;height:11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14:paraId="42E86BF4" w14:textId="77777777" w:rsidR="00512939" w:rsidRDefault="00512939" w:rsidP="00512939">
                      <w:pPr>
                        <w:jc w:val="center"/>
                        <w:rPr>
                          <w:rFonts w:ascii="Arial" w:hAnsi="Arial" w:cs="Arial"/>
                          <w:b/>
                          <w:bCs/>
                        </w:rPr>
                      </w:pPr>
                    </w:p>
                    <w:p w14:paraId="69825444" w14:textId="77777777" w:rsidR="00512939" w:rsidRPr="00900B48" w:rsidRDefault="00512939" w:rsidP="00512939">
                      <w:pPr>
                        <w:spacing w:after="120"/>
                        <w:jc w:val="center"/>
                        <w:rPr>
                          <w:rFonts w:ascii="Arial" w:hAnsi="Arial" w:cs="Arial"/>
                          <w:bCs/>
                          <w:sz w:val="28"/>
                          <w:szCs w:val="32"/>
                        </w:rPr>
                      </w:pPr>
                      <w:r w:rsidRPr="00900B48">
                        <w:rPr>
                          <w:rFonts w:ascii="Arial" w:hAnsi="Arial" w:cs="Arial"/>
                          <w:bCs/>
                          <w:sz w:val="28"/>
                          <w:szCs w:val="32"/>
                        </w:rPr>
                        <w:t>Wadden Sea Board</w:t>
                      </w:r>
                    </w:p>
                    <w:p w14:paraId="47E7B2BB" w14:textId="77777777" w:rsidR="00512939" w:rsidRPr="00900B48" w:rsidRDefault="00512939" w:rsidP="00512939">
                      <w:pPr>
                        <w:spacing w:after="120"/>
                        <w:jc w:val="center"/>
                        <w:rPr>
                          <w:rFonts w:ascii="Arial" w:hAnsi="Arial" w:cs="Arial"/>
                          <w:b/>
                          <w:bCs/>
                          <w:szCs w:val="32"/>
                        </w:rPr>
                      </w:pPr>
                      <w:r w:rsidRPr="00900B48">
                        <w:rPr>
                          <w:rFonts w:ascii="Arial" w:hAnsi="Arial" w:cs="Arial"/>
                          <w:b/>
                          <w:bCs/>
                          <w:szCs w:val="32"/>
                        </w:rPr>
                        <w:t xml:space="preserve">WSB </w:t>
                      </w:r>
                      <w:r>
                        <w:rPr>
                          <w:rFonts w:ascii="Arial" w:hAnsi="Arial" w:cs="Arial"/>
                          <w:b/>
                          <w:bCs/>
                          <w:szCs w:val="32"/>
                        </w:rPr>
                        <w:t>28</w:t>
                      </w:r>
                    </w:p>
                    <w:p w14:paraId="1EC09DB5" w14:textId="77777777" w:rsidR="00512939" w:rsidRPr="00884A64" w:rsidRDefault="00512939" w:rsidP="00512939">
                      <w:pPr>
                        <w:jc w:val="center"/>
                        <w:rPr>
                          <w:bCs/>
                        </w:rPr>
                      </w:pPr>
                      <w:r>
                        <w:rPr>
                          <w:bCs/>
                        </w:rPr>
                        <w:t>14 March</w:t>
                      </w:r>
                      <w:r w:rsidRPr="00884A64">
                        <w:rPr>
                          <w:bCs/>
                        </w:rPr>
                        <w:t xml:space="preserve"> 201</w:t>
                      </w:r>
                      <w:r>
                        <w:rPr>
                          <w:bCs/>
                        </w:rPr>
                        <w:t>9</w:t>
                      </w:r>
                    </w:p>
                    <w:p w14:paraId="5E6EE033" w14:textId="77777777" w:rsidR="00512939" w:rsidRPr="00884A64" w:rsidRDefault="00512939" w:rsidP="00512939">
                      <w:pPr>
                        <w:jc w:val="center"/>
                        <w:rPr>
                          <w:bCs/>
                        </w:rPr>
                      </w:pPr>
                      <w:r>
                        <w:rPr>
                          <w:bCs/>
                        </w:rPr>
                        <w:t>Berlin</w:t>
                      </w:r>
                      <w:r w:rsidRPr="00884A64">
                        <w:rPr>
                          <w:bCs/>
                        </w:rPr>
                        <w:t xml:space="preserve">, </w:t>
                      </w:r>
                      <w:r>
                        <w:rPr>
                          <w:bCs/>
                        </w:rPr>
                        <w:t>Germany</w:t>
                      </w:r>
                    </w:p>
                  </w:txbxContent>
                </v:textbox>
              </v:shape>
            </w:pict>
          </mc:Fallback>
        </mc:AlternateContent>
      </w:r>
      <w:r w:rsidRPr="00884A64">
        <w:rPr>
          <w:noProof/>
          <w:sz w:val="20"/>
          <w:szCs w:val="20"/>
          <w:lang w:val="de-DE" w:eastAsia="de-DE"/>
        </w:rPr>
        <w:drawing>
          <wp:anchor distT="0" distB="0" distL="114300" distR="114300" simplePos="0" relativeHeight="251660288" behindDoc="1" locked="0" layoutInCell="1" allowOverlap="1" wp14:anchorId="0FF947E9" wp14:editId="694870FC">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14:paraId="1F0FF268" w14:textId="77777777" w:rsidR="00512939" w:rsidRPr="00884A64" w:rsidRDefault="00512939" w:rsidP="00512939">
      <w:pPr>
        <w:jc w:val="center"/>
        <w:rPr>
          <w:b/>
          <w:bCs/>
          <w:sz w:val="20"/>
          <w:szCs w:val="20"/>
        </w:rPr>
      </w:pPr>
      <w:r w:rsidRPr="00884A64">
        <w:rPr>
          <w:b/>
          <w:bCs/>
          <w:sz w:val="20"/>
          <w:szCs w:val="20"/>
        </w:rPr>
        <w:t xml:space="preserve"> </w:t>
      </w:r>
    </w:p>
    <w:p w14:paraId="41D33B80" w14:textId="77777777" w:rsidR="00512939" w:rsidRPr="00884A64" w:rsidRDefault="00512939" w:rsidP="00512939">
      <w:pPr>
        <w:rPr>
          <w:sz w:val="20"/>
          <w:szCs w:val="20"/>
        </w:rPr>
      </w:pPr>
    </w:p>
    <w:p w14:paraId="5F9E6E6C" w14:textId="77777777" w:rsidR="00512939" w:rsidRPr="00884A64" w:rsidRDefault="00512939" w:rsidP="00512939">
      <w:pPr>
        <w:jc w:val="center"/>
        <w:rPr>
          <w:b/>
          <w:bCs/>
          <w:sz w:val="20"/>
          <w:szCs w:val="20"/>
        </w:rPr>
      </w:pPr>
    </w:p>
    <w:p w14:paraId="5BFF05AA" w14:textId="77777777" w:rsidR="00512939" w:rsidRPr="00884A64" w:rsidRDefault="00512939" w:rsidP="00512939">
      <w:pPr>
        <w:spacing w:after="120" w:line="276" w:lineRule="auto"/>
        <w:rPr>
          <w:sz w:val="20"/>
          <w:szCs w:val="20"/>
        </w:rPr>
      </w:pPr>
    </w:p>
    <w:p w14:paraId="61894231" w14:textId="77777777" w:rsidR="00512939" w:rsidRPr="00884A64" w:rsidRDefault="00512939" w:rsidP="00512939">
      <w:pPr>
        <w:spacing w:after="120" w:line="276" w:lineRule="auto"/>
        <w:jc w:val="center"/>
        <w:rPr>
          <w:sz w:val="20"/>
          <w:szCs w:val="20"/>
        </w:rPr>
      </w:pPr>
    </w:p>
    <w:p w14:paraId="69BD402B" w14:textId="77777777" w:rsidR="00512939" w:rsidRDefault="00512939" w:rsidP="00512939">
      <w:pPr>
        <w:pBdr>
          <w:bottom w:val="single" w:sz="6" w:space="1" w:color="auto"/>
        </w:pBdr>
        <w:spacing w:after="120" w:line="276" w:lineRule="auto"/>
        <w:rPr>
          <w:sz w:val="20"/>
          <w:szCs w:val="20"/>
        </w:rPr>
      </w:pPr>
    </w:p>
    <w:p w14:paraId="1C53A0D1" w14:textId="77777777" w:rsidR="00512939" w:rsidRPr="00884A64" w:rsidRDefault="00512939" w:rsidP="00512939">
      <w:pPr>
        <w:pBdr>
          <w:bottom w:val="single" w:sz="6" w:space="1" w:color="auto"/>
        </w:pBdr>
        <w:spacing w:after="120" w:line="276" w:lineRule="auto"/>
        <w:rPr>
          <w:sz w:val="20"/>
          <w:szCs w:val="20"/>
        </w:rPr>
      </w:pPr>
    </w:p>
    <w:p w14:paraId="4F4D3AAE" w14:textId="699344F6" w:rsidR="00512939" w:rsidRPr="00882BE6" w:rsidRDefault="00512939" w:rsidP="00512939">
      <w:pPr>
        <w:tabs>
          <w:tab w:val="left" w:pos="2160"/>
        </w:tabs>
        <w:spacing w:after="120" w:line="276" w:lineRule="auto"/>
        <w:rPr>
          <w:b/>
          <w:szCs w:val="22"/>
        </w:rPr>
      </w:pPr>
      <w:r w:rsidRPr="00882BE6">
        <w:rPr>
          <w:b/>
          <w:szCs w:val="22"/>
        </w:rPr>
        <w:t>Agenda Item:</w:t>
      </w:r>
      <w:r w:rsidRPr="00882BE6">
        <w:rPr>
          <w:b/>
          <w:szCs w:val="22"/>
        </w:rPr>
        <w:tab/>
      </w:r>
      <w:r w:rsidR="00040BF6">
        <w:rPr>
          <w:szCs w:val="22"/>
        </w:rPr>
        <w:t>7. TWSC Review</w:t>
      </w:r>
    </w:p>
    <w:p w14:paraId="60D10D5C" w14:textId="7570C392" w:rsidR="00512939" w:rsidRPr="00882BE6" w:rsidRDefault="00512939" w:rsidP="00512939">
      <w:pPr>
        <w:tabs>
          <w:tab w:val="left" w:pos="2160"/>
        </w:tabs>
        <w:spacing w:after="120" w:line="276" w:lineRule="auto"/>
        <w:rPr>
          <w:b/>
          <w:szCs w:val="22"/>
        </w:rPr>
      </w:pPr>
      <w:r w:rsidRPr="00882BE6">
        <w:rPr>
          <w:b/>
          <w:szCs w:val="22"/>
        </w:rPr>
        <w:t>Subject:</w:t>
      </w:r>
      <w:r w:rsidRPr="00882BE6">
        <w:rPr>
          <w:b/>
          <w:szCs w:val="22"/>
        </w:rPr>
        <w:tab/>
      </w:r>
      <w:r w:rsidR="00040BF6">
        <w:rPr>
          <w:szCs w:val="22"/>
        </w:rPr>
        <w:t>TOR TWSC groups</w:t>
      </w:r>
    </w:p>
    <w:p w14:paraId="4EFA6EB1" w14:textId="13AF9A3E" w:rsidR="00512939" w:rsidRPr="00882BE6" w:rsidRDefault="00512939" w:rsidP="00512939">
      <w:pPr>
        <w:tabs>
          <w:tab w:val="left" w:pos="2160"/>
        </w:tabs>
        <w:spacing w:after="120" w:line="276" w:lineRule="auto"/>
        <w:rPr>
          <w:b/>
          <w:szCs w:val="22"/>
        </w:rPr>
      </w:pPr>
      <w:r w:rsidRPr="00882BE6">
        <w:rPr>
          <w:b/>
          <w:szCs w:val="22"/>
        </w:rPr>
        <w:t>Document No.:</w:t>
      </w:r>
      <w:r w:rsidRPr="00882BE6">
        <w:rPr>
          <w:b/>
          <w:szCs w:val="22"/>
        </w:rPr>
        <w:tab/>
      </w:r>
      <w:r w:rsidRPr="00512939">
        <w:rPr>
          <w:szCs w:val="22"/>
        </w:rPr>
        <w:t>WSB 28/</w:t>
      </w:r>
      <w:r>
        <w:rPr>
          <w:szCs w:val="22"/>
        </w:rPr>
        <w:t>7.1</w:t>
      </w:r>
      <w:r w:rsidRPr="00512939">
        <w:rPr>
          <w:szCs w:val="22"/>
        </w:rPr>
        <w:t>/</w:t>
      </w:r>
      <w:r w:rsidR="00040BF6">
        <w:rPr>
          <w:szCs w:val="22"/>
        </w:rPr>
        <w:t>1</w:t>
      </w:r>
    </w:p>
    <w:p w14:paraId="78756832" w14:textId="4B75E531" w:rsidR="00512939" w:rsidRPr="00882BE6" w:rsidRDefault="00512939" w:rsidP="00512939">
      <w:pPr>
        <w:tabs>
          <w:tab w:val="left" w:pos="2160"/>
        </w:tabs>
        <w:spacing w:after="120" w:line="276" w:lineRule="auto"/>
        <w:rPr>
          <w:b/>
          <w:szCs w:val="22"/>
        </w:rPr>
      </w:pPr>
      <w:r w:rsidRPr="00882BE6">
        <w:rPr>
          <w:b/>
          <w:szCs w:val="22"/>
        </w:rPr>
        <w:t>Date:</w:t>
      </w:r>
      <w:r w:rsidRPr="00882BE6">
        <w:rPr>
          <w:b/>
          <w:szCs w:val="22"/>
        </w:rPr>
        <w:tab/>
      </w:r>
      <w:r w:rsidR="00C373D5" w:rsidRPr="00157231">
        <w:rPr>
          <w:szCs w:val="22"/>
        </w:rPr>
        <w:t>0</w:t>
      </w:r>
      <w:r w:rsidR="00C373D5">
        <w:rPr>
          <w:szCs w:val="22"/>
        </w:rPr>
        <w:t>4</w:t>
      </w:r>
      <w:r w:rsidRPr="00512939">
        <w:rPr>
          <w:szCs w:val="22"/>
        </w:rPr>
        <w:t xml:space="preserve"> </w:t>
      </w:r>
      <w:r w:rsidR="00C373D5">
        <w:rPr>
          <w:szCs w:val="22"/>
        </w:rPr>
        <w:t>March</w:t>
      </w:r>
      <w:r w:rsidRPr="00512939">
        <w:rPr>
          <w:szCs w:val="22"/>
        </w:rPr>
        <w:t xml:space="preserve"> 19</w:t>
      </w:r>
    </w:p>
    <w:p w14:paraId="4B2B3595" w14:textId="076532E2" w:rsidR="00512939" w:rsidRPr="00882BE6" w:rsidRDefault="00512939" w:rsidP="00512939">
      <w:pPr>
        <w:pBdr>
          <w:bottom w:val="single" w:sz="6" w:space="1" w:color="auto"/>
        </w:pBdr>
        <w:tabs>
          <w:tab w:val="left" w:pos="0"/>
        </w:tabs>
        <w:spacing w:after="120" w:line="276" w:lineRule="auto"/>
        <w:rPr>
          <w:b/>
          <w:szCs w:val="22"/>
        </w:rPr>
      </w:pPr>
      <w:r w:rsidRPr="00882BE6">
        <w:rPr>
          <w:b/>
          <w:szCs w:val="22"/>
        </w:rPr>
        <w:t>Submitted by:</w:t>
      </w:r>
      <w:r w:rsidRPr="00882BE6">
        <w:rPr>
          <w:b/>
          <w:szCs w:val="22"/>
        </w:rPr>
        <w:tab/>
      </w:r>
      <w:r w:rsidRPr="00882BE6">
        <w:rPr>
          <w:b/>
          <w:szCs w:val="22"/>
        </w:rPr>
        <w:tab/>
      </w:r>
      <w:r>
        <w:rPr>
          <w:szCs w:val="22"/>
        </w:rPr>
        <w:t>TWSC Review Core Group / CWSS</w:t>
      </w:r>
    </w:p>
    <w:p w14:paraId="7580C044" w14:textId="77777777" w:rsidR="00512939" w:rsidRDefault="00512939" w:rsidP="00E1406C">
      <w:pPr>
        <w:pStyle w:val="Kopfzeile"/>
        <w:rPr>
          <w:lang w:eastAsia="de-DE"/>
        </w:rPr>
      </w:pPr>
      <w:bookmarkStart w:id="0" w:name="_GoBack"/>
      <w:bookmarkEnd w:id="0"/>
    </w:p>
    <w:p w14:paraId="64A49C08" w14:textId="7415F95F" w:rsidR="0003403B" w:rsidRDefault="00512939" w:rsidP="00E1406C">
      <w:pPr>
        <w:pStyle w:val="Kopfzeile"/>
        <w:rPr>
          <w:lang w:eastAsia="de-DE"/>
        </w:rPr>
      </w:pPr>
      <w:r>
        <w:rPr>
          <w:lang w:eastAsia="de-DE"/>
        </w:rPr>
        <w:t>As part of the TWSC review process</w:t>
      </w:r>
      <w:r w:rsidR="00E1406C" w:rsidRPr="009D62C3">
        <w:rPr>
          <w:lang w:eastAsia="de-DE"/>
        </w:rPr>
        <w:t xml:space="preserve"> </w:t>
      </w:r>
      <w:r w:rsidR="004F2D4B">
        <w:rPr>
          <w:lang w:eastAsia="de-DE"/>
        </w:rPr>
        <w:t>the self-</w:t>
      </w:r>
      <w:r w:rsidR="00DA3A8C">
        <w:rPr>
          <w:lang w:eastAsia="de-DE"/>
        </w:rPr>
        <w:t>review</w:t>
      </w:r>
      <w:r w:rsidR="00E1406C" w:rsidRPr="009D62C3">
        <w:rPr>
          <w:lang w:eastAsia="de-DE"/>
        </w:rPr>
        <w:t xml:space="preserve"> papers </w:t>
      </w:r>
      <w:r w:rsidR="009D62C3">
        <w:rPr>
          <w:lang w:eastAsia="de-DE"/>
        </w:rPr>
        <w:t xml:space="preserve">and </w:t>
      </w:r>
      <w:r w:rsidR="004F2D4B">
        <w:rPr>
          <w:lang w:eastAsia="de-DE"/>
        </w:rPr>
        <w:t xml:space="preserve">draft </w:t>
      </w:r>
      <w:r w:rsidR="009D62C3">
        <w:rPr>
          <w:lang w:eastAsia="de-DE"/>
        </w:rPr>
        <w:t xml:space="preserve">Terms of Reference </w:t>
      </w:r>
      <w:r w:rsidR="00E1406C" w:rsidRPr="009D62C3">
        <w:rPr>
          <w:lang w:eastAsia="de-DE"/>
        </w:rPr>
        <w:t xml:space="preserve">of </w:t>
      </w:r>
      <w:r w:rsidR="004F2D4B">
        <w:rPr>
          <w:lang w:eastAsia="de-DE"/>
        </w:rPr>
        <w:t xml:space="preserve">the various </w:t>
      </w:r>
      <w:r w:rsidR="00E1406C" w:rsidRPr="009D62C3">
        <w:rPr>
          <w:lang w:eastAsia="de-DE"/>
        </w:rPr>
        <w:t xml:space="preserve">TWSC groups </w:t>
      </w:r>
      <w:r w:rsidR="00DA3A8C">
        <w:rPr>
          <w:lang w:eastAsia="de-DE"/>
        </w:rPr>
        <w:t xml:space="preserve">and the CWSS self-assessment </w:t>
      </w:r>
      <w:r w:rsidR="004F2D4B">
        <w:rPr>
          <w:lang w:eastAsia="de-DE"/>
        </w:rPr>
        <w:t xml:space="preserve">were discussed by </w:t>
      </w:r>
      <w:r>
        <w:rPr>
          <w:lang w:eastAsia="de-DE"/>
        </w:rPr>
        <w:t>the TWSC Review (</w:t>
      </w:r>
      <w:r w:rsidR="00040BF6">
        <w:rPr>
          <w:lang w:eastAsia="de-DE"/>
        </w:rPr>
        <w:t>C</w:t>
      </w:r>
      <w:r>
        <w:rPr>
          <w:lang w:eastAsia="de-DE"/>
        </w:rPr>
        <w:t xml:space="preserve">ore) Group on three consecutive </w:t>
      </w:r>
      <w:r w:rsidR="0058632E">
        <w:rPr>
          <w:lang w:eastAsia="de-DE"/>
        </w:rPr>
        <w:t xml:space="preserve">meetings incl. one </w:t>
      </w:r>
      <w:r>
        <w:rPr>
          <w:lang w:eastAsia="de-DE"/>
        </w:rPr>
        <w:t>workshop.</w:t>
      </w:r>
    </w:p>
    <w:p w14:paraId="71757701" w14:textId="219A9040" w:rsidR="0003403B" w:rsidRDefault="0003403B" w:rsidP="00E1406C">
      <w:pPr>
        <w:pStyle w:val="Kopfzeile"/>
        <w:rPr>
          <w:lang w:eastAsia="de-DE"/>
        </w:rPr>
      </w:pPr>
    </w:p>
    <w:p w14:paraId="417B37EB" w14:textId="2B79ECFA" w:rsidR="00D41229" w:rsidRPr="000769E9" w:rsidRDefault="00E1406C" w:rsidP="00D41229">
      <w:pPr>
        <w:pStyle w:val="Kopfzeile"/>
        <w:rPr>
          <w:szCs w:val="22"/>
          <w:lang w:eastAsia="de-DE"/>
        </w:rPr>
      </w:pPr>
      <w:r w:rsidRPr="009D62C3">
        <w:rPr>
          <w:lang w:eastAsia="de-DE"/>
        </w:rPr>
        <w:t>Th</w:t>
      </w:r>
      <w:r w:rsidR="00DA3A8C">
        <w:rPr>
          <w:lang w:eastAsia="de-DE"/>
        </w:rPr>
        <w:t>is</w:t>
      </w:r>
      <w:r w:rsidRPr="009D62C3">
        <w:rPr>
          <w:lang w:eastAsia="de-DE"/>
        </w:rPr>
        <w:t xml:space="preserve"> document </w:t>
      </w:r>
      <w:r w:rsidR="00DA3A8C">
        <w:rPr>
          <w:lang w:eastAsia="de-DE"/>
        </w:rPr>
        <w:t xml:space="preserve">collates the draft </w:t>
      </w:r>
      <w:r w:rsidR="00ED35E0">
        <w:rPr>
          <w:lang w:eastAsia="de-DE"/>
        </w:rPr>
        <w:t>T</w:t>
      </w:r>
      <w:r w:rsidR="00040BF6">
        <w:rPr>
          <w:lang w:eastAsia="de-DE"/>
        </w:rPr>
        <w:t>O</w:t>
      </w:r>
      <w:r w:rsidR="00ED35E0">
        <w:rPr>
          <w:lang w:eastAsia="de-DE"/>
        </w:rPr>
        <w:t xml:space="preserve">R </w:t>
      </w:r>
      <w:r w:rsidR="00DA3A8C">
        <w:rPr>
          <w:lang w:eastAsia="de-DE"/>
        </w:rPr>
        <w:t xml:space="preserve">of the various Groups as amended by the TWSC </w:t>
      </w:r>
      <w:r w:rsidR="00512939">
        <w:rPr>
          <w:lang w:eastAsia="de-DE"/>
        </w:rPr>
        <w:t xml:space="preserve">Review (Core) Group </w:t>
      </w:r>
      <w:r w:rsidR="00DA3A8C">
        <w:rPr>
          <w:lang w:eastAsia="de-DE"/>
        </w:rPr>
        <w:t>review workshop</w:t>
      </w:r>
      <w:r w:rsidR="00040BF6">
        <w:rPr>
          <w:lang w:eastAsia="de-DE"/>
        </w:rPr>
        <w:t>s</w:t>
      </w:r>
      <w:r w:rsidR="00DA3A8C">
        <w:rPr>
          <w:lang w:eastAsia="de-DE"/>
        </w:rPr>
        <w:t xml:space="preserve"> in October</w:t>
      </w:r>
      <w:r w:rsidR="00512939">
        <w:rPr>
          <w:lang w:eastAsia="de-DE"/>
        </w:rPr>
        <w:t>, December 2018 and February</w:t>
      </w:r>
      <w:r w:rsidR="005070A1">
        <w:rPr>
          <w:lang w:eastAsia="de-DE"/>
        </w:rPr>
        <w:t xml:space="preserve"> 2019</w:t>
      </w:r>
      <w:r w:rsidR="00DA3A8C">
        <w:rPr>
          <w:lang w:eastAsia="de-DE"/>
        </w:rPr>
        <w:t xml:space="preserve">, as well as </w:t>
      </w:r>
      <w:r w:rsidRPr="009D62C3">
        <w:rPr>
          <w:lang w:eastAsia="de-DE"/>
        </w:rPr>
        <w:t xml:space="preserve">the </w:t>
      </w:r>
      <w:r w:rsidR="00DA3A8C">
        <w:rPr>
          <w:lang w:eastAsia="de-DE"/>
        </w:rPr>
        <w:t xml:space="preserve">comments and recommendations issued by </w:t>
      </w:r>
      <w:r w:rsidR="00F80F4D">
        <w:rPr>
          <w:lang w:eastAsia="de-DE"/>
        </w:rPr>
        <w:t>the</w:t>
      </w:r>
      <w:r w:rsidR="00DA3A8C">
        <w:rPr>
          <w:lang w:eastAsia="de-DE"/>
        </w:rPr>
        <w:t xml:space="preserve"> </w:t>
      </w:r>
      <w:r w:rsidR="00512939">
        <w:rPr>
          <w:lang w:eastAsia="de-DE"/>
        </w:rPr>
        <w:t>three</w:t>
      </w:r>
      <w:r w:rsidR="00F80F4D">
        <w:rPr>
          <w:lang w:eastAsia="de-DE"/>
        </w:rPr>
        <w:t xml:space="preserve"> meetings</w:t>
      </w:r>
      <w:r w:rsidR="00DA3A8C">
        <w:rPr>
          <w:lang w:eastAsia="de-DE"/>
        </w:rPr>
        <w:t xml:space="preserve">, as a basis for </w:t>
      </w:r>
      <w:r w:rsidR="002338ED">
        <w:rPr>
          <w:lang w:eastAsia="de-DE"/>
        </w:rPr>
        <w:t xml:space="preserve">the </w:t>
      </w:r>
      <w:r w:rsidR="00F021F3">
        <w:rPr>
          <w:lang w:eastAsia="de-DE"/>
        </w:rPr>
        <w:t>decision of the WSB</w:t>
      </w:r>
      <w:r w:rsidR="00DA3A8C">
        <w:rPr>
          <w:lang w:eastAsia="de-DE"/>
        </w:rPr>
        <w:t>.</w:t>
      </w:r>
      <w:r w:rsidR="00512939">
        <w:rPr>
          <w:lang w:eastAsia="de-DE"/>
        </w:rPr>
        <w:t xml:space="preserve"> These recommendations will not be part of the final T</w:t>
      </w:r>
      <w:r w:rsidR="00040BF6">
        <w:rPr>
          <w:lang w:eastAsia="de-DE"/>
        </w:rPr>
        <w:t>O</w:t>
      </w:r>
      <w:r w:rsidR="00512939">
        <w:rPr>
          <w:lang w:eastAsia="de-DE"/>
        </w:rPr>
        <w:t>R document.</w:t>
      </w:r>
      <w:r w:rsidR="005808FB" w:rsidRPr="005808FB">
        <w:rPr>
          <w:lang w:eastAsia="de-DE"/>
        </w:rPr>
        <w:t xml:space="preserve"> </w:t>
      </w:r>
    </w:p>
    <w:p w14:paraId="2F1D1640" w14:textId="77777777" w:rsidR="00D41229" w:rsidRPr="000769E9" w:rsidRDefault="00D41229" w:rsidP="00D41229"/>
    <w:p w14:paraId="45BF4FD1" w14:textId="7E870E2D" w:rsidR="003D6D11" w:rsidRDefault="007C7EEF" w:rsidP="00FA025C">
      <w:pPr>
        <w:rPr>
          <w:lang w:val="en-US"/>
        </w:rPr>
      </w:pPr>
      <w:r>
        <w:rPr>
          <w:lang w:val="en-US"/>
        </w:rPr>
        <w:t>T</w:t>
      </w:r>
      <w:r w:rsidR="00DF6DE3">
        <w:rPr>
          <w:lang w:val="en-US"/>
        </w:rPr>
        <w:t>he Core Group decided that, b</w:t>
      </w:r>
      <w:r w:rsidR="00792CDA" w:rsidRPr="00002900">
        <w:rPr>
          <w:lang w:val="en-US"/>
        </w:rPr>
        <w:t>ased on th</w:t>
      </w:r>
      <w:r w:rsidR="00792CDA">
        <w:rPr>
          <w:lang w:val="en-US"/>
        </w:rPr>
        <w:t xml:space="preserve">e Rules of Procedure and </w:t>
      </w:r>
      <w:r w:rsidR="00DF6DE3">
        <w:rPr>
          <w:lang w:val="en-US"/>
        </w:rPr>
        <w:t xml:space="preserve">the proven approach of the </w:t>
      </w:r>
      <w:r w:rsidR="00792CDA">
        <w:rPr>
          <w:lang w:val="en-US"/>
        </w:rPr>
        <w:t>TWSC</w:t>
      </w:r>
      <w:r w:rsidR="00DF6DE3">
        <w:rPr>
          <w:lang w:val="en-US"/>
        </w:rPr>
        <w:t>,</w:t>
      </w:r>
      <w:r w:rsidR="00792CDA">
        <w:rPr>
          <w:lang w:val="en-US"/>
        </w:rPr>
        <w:t xml:space="preserve"> the</w:t>
      </w:r>
      <w:r w:rsidR="00792CDA" w:rsidRPr="00002900">
        <w:rPr>
          <w:lang w:val="en-US"/>
        </w:rPr>
        <w:t xml:space="preserve"> lists with the </w:t>
      </w:r>
      <w:r w:rsidR="00DF6DE3">
        <w:rPr>
          <w:lang w:val="en-US"/>
        </w:rPr>
        <w:t>m</w:t>
      </w:r>
      <w:r w:rsidR="00792CDA" w:rsidRPr="00002900">
        <w:rPr>
          <w:lang w:val="en-US"/>
        </w:rPr>
        <w:t xml:space="preserve">embers of the groups should be separated from the document </w:t>
      </w:r>
      <w:r w:rsidR="0006057D">
        <w:rPr>
          <w:lang w:val="en-US"/>
        </w:rPr>
        <w:t>containing</w:t>
      </w:r>
      <w:r w:rsidR="00DF6DE3">
        <w:rPr>
          <w:lang w:val="en-US"/>
        </w:rPr>
        <w:t xml:space="preserve"> the</w:t>
      </w:r>
      <w:r w:rsidR="00792CDA">
        <w:rPr>
          <w:lang w:val="en-US"/>
        </w:rPr>
        <w:t xml:space="preserve"> </w:t>
      </w:r>
      <w:r w:rsidR="00C5066C">
        <w:rPr>
          <w:lang w:val="en-US"/>
        </w:rPr>
        <w:t>TOR</w:t>
      </w:r>
      <w:r w:rsidR="00792CDA">
        <w:rPr>
          <w:lang w:val="en-US"/>
        </w:rPr>
        <w:t xml:space="preserve">. A complete list </w:t>
      </w:r>
      <w:r w:rsidR="005070A1">
        <w:rPr>
          <w:lang w:val="en-US"/>
        </w:rPr>
        <w:t xml:space="preserve">is </w:t>
      </w:r>
      <w:r w:rsidR="00792CDA">
        <w:rPr>
          <w:lang w:val="en-US"/>
        </w:rPr>
        <w:t xml:space="preserve">submitted to </w:t>
      </w:r>
      <w:r w:rsidR="005070A1">
        <w:rPr>
          <w:lang w:val="en-US"/>
        </w:rPr>
        <w:t>WSB 28</w:t>
      </w:r>
      <w:r w:rsidR="00792CDA">
        <w:rPr>
          <w:lang w:val="en-US"/>
        </w:rPr>
        <w:t xml:space="preserve"> </w:t>
      </w:r>
      <w:r w:rsidR="005070A1">
        <w:rPr>
          <w:lang w:val="en-US"/>
        </w:rPr>
        <w:t>as a separate document (WSB 28/7</w:t>
      </w:r>
      <w:r w:rsidR="00040BF6">
        <w:rPr>
          <w:lang w:val="en-US"/>
        </w:rPr>
        <w:t>.1</w:t>
      </w:r>
      <w:r w:rsidR="005070A1">
        <w:rPr>
          <w:lang w:val="en-US"/>
        </w:rPr>
        <w:t>/2)</w:t>
      </w:r>
      <w:r w:rsidR="00792CDA">
        <w:rPr>
          <w:lang w:val="en-US"/>
        </w:rPr>
        <w:t>.</w:t>
      </w:r>
      <w:r w:rsidR="00DF7B43">
        <w:rPr>
          <w:lang w:val="en-US"/>
        </w:rPr>
        <w:t xml:space="preserve"> The chairs of the TGs will be appointed separately</w:t>
      </w:r>
      <w:r w:rsidR="00FD3BE8">
        <w:rPr>
          <w:lang w:val="en-US"/>
        </w:rPr>
        <w:t xml:space="preserve"> accordingly</w:t>
      </w:r>
      <w:r w:rsidR="00DF7B43">
        <w:rPr>
          <w:lang w:val="en-US"/>
        </w:rPr>
        <w:t>.</w:t>
      </w:r>
    </w:p>
    <w:p w14:paraId="57E4588C" w14:textId="77777777" w:rsidR="00512939" w:rsidRDefault="00512939" w:rsidP="00FA025C">
      <w:pPr>
        <w:rPr>
          <w:lang w:val="en-US"/>
        </w:rPr>
      </w:pPr>
    </w:p>
    <w:p w14:paraId="2C341F95" w14:textId="66AC6461" w:rsidR="005070A1" w:rsidRDefault="005070A1" w:rsidP="00FA025C">
      <w:pPr>
        <w:rPr>
          <w:lang w:val="en-US"/>
        </w:rPr>
      </w:pPr>
    </w:p>
    <w:p w14:paraId="7E93C17D" w14:textId="5195FCF9" w:rsidR="005070A1" w:rsidRPr="000769E9" w:rsidRDefault="005070A1" w:rsidP="00FA025C">
      <w:r w:rsidRPr="00285A05">
        <w:rPr>
          <w:b/>
          <w:lang w:val="en-US"/>
        </w:rPr>
        <w:t>Proposal:</w:t>
      </w:r>
      <w:r>
        <w:rPr>
          <w:lang w:val="en-US"/>
        </w:rPr>
        <w:t xml:space="preserve"> The meeting is invited to approve the T</w:t>
      </w:r>
      <w:r w:rsidR="00040BF6">
        <w:rPr>
          <w:lang w:val="en-US"/>
        </w:rPr>
        <w:t>O</w:t>
      </w:r>
      <w:r>
        <w:rPr>
          <w:lang w:val="en-US"/>
        </w:rPr>
        <w:t>R of the trilateral groups.</w:t>
      </w:r>
    </w:p>
    <w:p w14:paraId="5765DF70" w14:textId="77777777" w:rsidR="003D6D11" w:rsidRPr="000769E9" w:rsidRDefault="003D6D11" w:rsidP="00FA025C"/>
    <w:p w14:paraId="20D59732" w14:textId="076404FC" w:rsidR="004B0027" w:rsidRDefault="009D62C3" w:rsidP="00FA025C">
      <w:pPr>
        <w:pStyle w:val="Header1"/>
      </w:pPr>
      <w:r>
        <w:br w:type="page"/>
      </w:r>
      <w:r w:rsidR="00E1406C">
        <w:lastRenderedPageBreak/>
        <w:t>S</w:t>
      </w:r>
      <w:r w:rsidR="00E36F56">
        <w:t>ummary o</w:t>
      </w:r>
      <w:r w:rsidR="00DC79DC">
        <w:t>f</w:t>
      </w:r>
      <w:r w:rsidR="00E36F56">
        <w:t xml:space="preserve"> </w:t>
      </w:r>
      <w:r w:rsidR="004B0027">
        <w:t xml:space="preserve">proposed </w:t>
      </w:r>
      <w:r w:rsidR="00D14455" w:rsidRPr="000769E9">
        <w:t>T</w:t>
      </w:r>
      <w:r w:rsidR="002A71CE">
        <w:t xml:space="preserve">rilateral </w:t>
      </w:r>
      <w:r w:rsidR="00D14455" w:rsidRPr="000769E9">
        <w:t>W</w:t>
      </w:r>
      <w:r w:rsidR="002A71CE">
        <w:t xml:space="preserve">adden </w:t>
      </w:r>
      <w:r w:rsidR="00D14455" w:rsidRPr="000769E9">
        <w:t>S</w:t>
      </w:r>
      <w:r w:rsidR="002A71CE">
        <w:t xml:space="preserve">ea </w:t>
      </w:r>
      <w:r w:rsidR="00D14455" w:rsidRPr="000769E9">
        <w:t>C</w:t>
      </w:r>
      <w:r w:rsidR="002A71CE">
        <w:t>ooperation (TWSC)</w:t>
      </w:r>
      <w:r w:rsidR="00D14455" w:rsidRPr="000769E9">
        <w:t xml:space="preserve"> group structure</w:t>
      </w:r>
      <w:r w:rsidR="00C475C2">
        <w:t xml:space="preserve"> and general recommendations</w:t>
      </w:r>
    </w:p>
    <w:p w14:paraId="71EE02AA" w14:textId="77777777" w:rsidR="00617074" w:rsidRDefault="00617074" w:rsidP="00BE5FA0">
      <w:pPr>
        <w:pStyle w:val="Header2"/>
      </w:pPr>
    </w:p>
    <w:p w14:paraId="5ADE78BC" w14:textId="1A1D5261" w:rsidR="00AF0AA0" w:rsidRDefault="00AF0AA0" w:rsidP="00BE5FA0">
      <w:pPr>
        <w:pStyle w:val="Header2"/>
      </w:pPr>
      <w:r>
        <w:t>TWSC group structure</w:t>
      </w:r>
    </w:p>
    <w:p w14:paraId="609D8474" w14:textId="1E37DA66" w:rsidR="004B0027" w:rsidRDefault="004B0027" w:rsidP="00FA025C">
      <w:r>
        <w:t xml:space="preserve">TWSC groups and group structure as proposed by TWSC </w:t>
      </w:r>
      <w:r w:rsidR="0075092A">
        <w:t xml:space="preserve">Review Core Group based on conclusions of TWSC </w:t>
      </w:r>
      <w:r w:rsidR="00F80F4D">
        <w:t>R</w:t>
      </w:r>
      <w:r w:rsidR="0075092A">
        <w:t xml:space="preserve">eview </w:t>
      </w:r>
      <w:r w:rsidR="00C77F3F">
        <w:t>W</w:t>
      </w:r>
      <w:r>
        <w:t xml:space="preserve">orkshop </w:t>
      </w:r>
      <w:r w:rsidR="0075092A">
        <w:t>(Hamburg, October 17</w:t>
      </w:r>
      <w:r w:rsidR="0075092A" w:rsidRPr="0075092A">
        <w:rPr>
          <w:vertAlign w:val="superscript"/>
        </w:rPr>
        <w:t>th</w:t>
      </w:r>
      <w:proofErr w:type="gramStart"/>
      <w:r w:rsidR="0075092A">
        <w:t xml:space="preserve"> 2018</w:t>
      </w:r>
      <w:proofErr w:type="gramEnd"/>
      <w:r w:rsidR="0075092A">
        <w:t>)</w:t>
      </w:r>
      <w:r w:rsidR="00F80F4D">
        <w:t xml:space="preserve"> </w:t>
      </w:r>
      <w:r>
        <w:t>(Table 1, Figure 1), and status of their Terms of Reference (</w:t>
      </w:r>
      <w:r w:rsidR="00C5066C">
        <w:t>TOR</w:t>
      </w:r>
      <w:r>
        <w:t>) (Table 1).</w:t>
      </w:r>
    </w:p>
    <w:p w14:paraId="3821B1D8" w14:textId="3345529D" w:rsidR="008C14B8" w:rsidRDefault="008C14B8" w:rsidP="00FA025C"/>
    <w:p w14:paraId="345927E2" w14:textId="243170FA" w:rsidR="008C14B8" w:rsidRDefault="008C14B8" w:rsidP="00FA025C">
      <w:pPr>
        <w:rPr>
          <w:b/>
        </w:rPr>
      </w:pPr>
      <w:r>
        <w:rPr>
          <w:b/>
        </w:rPr>
        <w:t xml:space="preserve">Trilateral operational groups by </w:t>
      </w:r>
      <w:r w:rsidR="0075092A">
        <w:rPr>
          <w:b/>
        </w:rPr>
        <w:t>category</w:t>
      </w:r>
      <w:r>
        <w:rPr>
          <w:b/>
        </w:rPr>
        <w:t>:</w:t>
      </w:r>
    </w:p>
    <w:p w14:paraId="5ACCD1B6" w14:textId="77777777" w:rsidR="00B33F8F" w:rsidRDefault="00B33F8F" w:rsidP="00FA025C">
      <w:pPr>
        <w:rPr>
          <w:b/>
        </w:rPr>
      </w:pPr>
    </w:p>
    <w:p w14:paraId="0F9BCD68" w14:textId="281D33C2" w:rsidR="008C14B8" w:rsidRDefault="007B3DEC" w:rsidP="008C14B8">
      <w:r w:rsidRPr="008C14B8">
        <w:rPr>
          <w:b/>
        </w:rPr>
        <w:t>Task Groups</w:t>
      </w:r>
      <w:r w:rsidR="00B33F8F">
        <w:t xml:space="preserve"> </w:t>
      </w:r>
      <w:r w:rsidR="008C14B8">
        <w:t>are generally policy task groups with a limited timeframe, number of members, and defined tasks, for which the W</w:t>
      </w:r>
      <w:r w:rsidR="002A71CE">
        <w:t xml:space="preserve">adden </w:t>
      </w:r>
      <w:r w:rsidR="008C14B8">
        <w:t>S</w:t>
      </w:r>
      <w:r w:rsidR="002A71CE">
        <w:t xml:space="preserve">ea </w:t>
      </w:r>
      <w:r w:rsidR="008C14B8">
        <w:t>B</w:t>
      </w:r>
      <w:r w:rsidR="002A71CE">
        <w:t>oard (WSB)</w:t>
      </w:r>
      <w:r w:rsidR="008C14B8">
        <w:t xml:space="preserve"> may allow exceptions. In </w:t>
      </w:r>
      <w:r w:rsidR="00B33F8F">
        <w:t>general,</w:t>
      </w:r>
      <w:r w:rsidR="008C14B8">
        <w:t xml:space="preserve"> WSB-members should not be members of TGs. </w:t>
      </w:r>
      <w:r w:rsidR="006D4483">
        <w:t>The OP</w:t>
      </w:r>
      <w:r w:rsidR="0006057D">
        <w:t>t</w:t>
      </w:r>
      <w:r w:rsidR="006D4483">
        <w:t xml:space="preserve">eamPH has the status of a TG. </w:t>
      </w:r>
      <w:r w:rsidR="008C14B8">
        <w:t>TGs</w:t>
      </w:r>
    </w:p>
    <w:p w14:paraId="6723BD29" w14:textId="3930AAF1" w:rsidR="008C14B8" w:rsidRDefault="008C14B8" w:rsidP="00B33F8F">
      <w:pPr>
        <w:ind w:firstLine="720"/>
      </w:pPr>
      <w:r>
        <w:t>a.</w:t>
      </w:r>
      <w:r w:rsidR="00B33F8F">
        <w:t xml:space="preserve"> </w:t>
      </w:r>
      <w:r>
        <w:t>report directly to the WSB</w:t>
      </w:r>
      <w:r w:rsidR="00DF7B43">
        <w:t>;</w:t>
      </w:r>
    </w:p>
    <w:p w14:paraId="611CB871" w14:textId="0A5105D8" w:rsidR="008C14B8" w:rsidRDefault="008C14B8" w:rsidP="00B33F8F">
      <w:pPr>
        <w:ind w:firstLine="720"/>
      </w:pPr>
      <w:r>
        <w:t>b.</w:t>
      </w:r>
      <w:r w:rsidR="00B33F8F">
        <w:t xml:space="preserve"> </w:t>
      </w:r>
      <w:proofErr w:type="gramStart"/>
      <w:r>
        <w:t>are</w:t>
      </w:r>
      <w:proofErr w:type="gramEnd"/>
      <w:r>
        <w:t xml:space="preserve"> chaired by experienced administrative/ministerial representatives</w:t>
      </w:r>
      <w:r w:rsidR="00DF7B43">
        <w:t>;</w:t>
      </w:r>
    </w:p>
    <w:p w14:paraId="5298B76D" w14:textId="352278C2" w:rsidR="008C14B8" w:rsidRDefault="008C14B8" w:rsidP="00B33F8F">
      <w:pPr>
        <w:ind w:left="720"/>
      </w:pPr>
      <w:r>
        <w:t>c.</w:t>
      </w:r>
      <w:r w:rsidR="00B33F8F">
        <w:t xml:space="preserve"> </w:t>
      </w:r>
      <w:proofErr w:type="gramStart"/>
      <w:r>
        <w:t>have</w:t>
      </w:r>
      <w:proofErr w:type="gramEnd"/>
      <w:r>
        <w:t xml:space="preserve"> a lifespan of one presidency (Reinstallation under new presidency is possible, but requires specific new </w:t>
      </w:r>
      <w:r w:rsidR="0075092A">
        <w:t>WSB</w:t>
      </w:r>
      <w:r>
        <w:t xml:space="preserve"> decision)</w:t>
      </w:r>
      <w:r w:rsidR="00DF7B43">
        <w:t>;</w:t>
      </w:r>
    </w:p>
    <w:p w14:paraId="2024FB36" w14:textId="5FC22CE1" w:rsidR="00B33F8F" w:rsidRDefault="00B33F8F" w:rsidP="00B33F8F">
      <w:pPr>
        <w:ind w:firstLine="720"/>
      </w:pPr>
      <w:r>
        <w:t xml:space="preserve">d. </w:t>
      </w:r>
      <w:proofErr w:type="gramStart"/>
      <w:r>
        <w:t>are</w:t>
      </w:r>
      <w:proofErr w:type="gramEnd"/>
      <w:r>
        <w:t xml:space="preserve"> mandated to install temporary ad</w:t>
      </w:r>
      <w:r w:rsidR="00C5066C">
        <w:t>-</w:t>
      </w:r>
      <w:r>
        <w:t xml:space="preserve">hoc </w:t>
      </w:r>
      <w:r w:rsidR="00C5066C">
        <w:t>w</w:t>
      </w:r>
      <w:r>
        <w:t>orking groups under their supervision</w:t>
      </w:r>
      <w:r w:rsidR="00E17EF5">
        <w:t>.</w:t>
      </w:r>
    </w:p>
    <w:p w14:paraId="44039406" w14:textId="20F83296" w:rsidR="00B33F8F" w:rsidRDefault="00B33F8F" w:rsidP="00B33F8F">
      <w:pPr>
        <w:ind w:left="720"/>
      </w:pPr>
    </w:p>
    <w:p w14:paraId="583CEB9D" w14:textId="52AEC051" w:rsidR="00B33F8F" w:rsidRDefault="00B33F8F" w:rsidP="00B33F8F">
      <w:r w:rsidRPr="00B33F8F">
        <w:rPr>
          <w:b/>
        </w:rPr>
        <w:t>Expert Groups</w:t>
      </w:r>
      <w:r>
        <w:t xml:space="preserve"> are generally long-term or permanent technical groups – exceptions are allowed. They have operational and advising tasks and</w:t>
      </w:r>
    </w:p>
    <w:p w14:paraId="3427D082" w14:textId="74820BB8" w:rsidR="00B33F8F" w:rsidRDefault="00B33F8F" w:rsidP="002A71CE">
      <w:pPr>
        <w:ind w:left="720"/>
      </w:pPr>
      <w:r>
        <w:t>a. report to the C</w:t>
      </w:r>
      <w:r w:rsidR="002A71CE">
        <w:t xml:space="preserve">ommon </w:t>
      </w:r>
      <w:r>
        <w:t>W</w:t>
      </w:r>
      <w:r w:rsidR="002A71CE">
        <w:t xml:space="preserve">adden </w:t>
      </w:r>
      <w:r>
        <w:t>S</w:t>
      </w:r>
      <w:r w:rsidR="002A71CE">
        <w:t xml:space="preserve">ea </w:t>
      </w:r>
      <w:r>
        <w:t>S</w:t>
      </w:r>
      <w:r w:rsidR="002A71CE">
        <w:t>ecretariat (CWSS)</w:t>
      </w:r>
      <w:r>
        <w:t xml:space="preserve"> – WSB may allow exceptions;</w:t>
      </w:r>
      <w:r w:rsidR="00C5066C">
        <w:t xml:space="preserve"> EGs are also connected or in some cases report to relevant TGs; </w:t>
      </w:r>
    </w:p>
    <w:p w14:paraId="7676E955" w14:textId="30F5E2D0" w:rsidR="00B33F8F" w:rsidRDefault="00B33F8F" w:rsidP="00B33F8F">
      <w:pPr>
        <w:ind w:firstLine="720"/>
      </w:pPr>
      <w:r>
        <w:t xml:space="preserve">b. </w:t>
      </w:r>
      <w:proofErr w:type="gramStart"/>
      <w:r>
        <w:t>are</w:t>
      </w:r>
      <w:proofErr w:type="gramEnd"/>
      <w:r>
        <w:t xml:space="preserve"> chaired by CWSS staff or </w:t>
      </w:r>
      <w:r w:rsidR="006D4483">
        <w:t xml:space="preserve">a </w:t>
      </w:r>
      <w:r>
        <w:t>group member;</w:t>
      </w:r>
    </w:p>
    <w:p w14:paraId="6B1EE315" w14:textId="076F4E86" w:rsidR="008C14B8" w:rsidRDefault="00B33F8F" w:rsidP="00B33F8F">
      <w:pPr>
        <w:ind w:firstLine="720"/>
      </w:pPr>
      <w:r>
        <w:t xml:space="preserve">c. </w:t>
      </w:r>
      <w:proofErr w:type="gramStart"/>
      <w:r>
        <w:t>are</w:t>
      </w:r>
      <w:proofErr w:type="gramEnd"/>
      <w:r>
        <w:t xml:space="preserve"> (in principle, but not necessarily) permanent;</w:t>
      </w:r>
    </w:p>
    <w:p w14:paraId="490101FA" w14:textId="3740ABED" w:rsidR="00B33F8F" w:rsidRDefault="00B33F8F" w:rsidP="00B33F8F">
      <w:pPr>
        <w:ind w:firstLine="720"/>
      </w:pPr>
      <w:r>
        <w:t xml:space="preserve">d. </w:t>
      </w:r>
      <w:proofErr w:type="gramStart"/>
      <w:r>
        <w:t>have</w:t>
      </w:r>
      <w:proofErr w:type="gramEnd"/>
      <w:r>
        <w:t xml:space="preserve"> the opportunity to report annually to WSB</w:t>
      </w:r>
      <w:r w:rsidR="00E17EF5">
        <w:t>.</w:t>
      </w:r>
    </w:p>
    <w:p w14:paraId="18ECC552" w14:textId="77777777" w:rsidR="008C14B8" w:rsidRDefault="008C14B8" w:rsidP="00FA025C"/>
    <w:p w14:paraId="2F32BD85" w14:textId="7E39A3D6" w:rsidR="007B3DEC" w:rsidRDefault="007B3DEC" w:rsidP="00FA025C">
      <w:r w:rsidRPr="008C14B8">
        <w:rPr>
          <w:b/>
        </w:rPr>
        <w:t>Network Groups</w:t>
      </w:r>
      <w:r w:rsidR="008C14B8">
        <w:t xml:space="preserve">: Similar to Expert Groups but </w:t>
      </w:r>
      <w:r w:rsidR="0075092A">
        <w:t xml:space="preserve">with </w:t>
      </w:r>
      <w:r w:rsidR="008C14B8">
        <w:t>more of a networking platform character</w:t>
      </w:r>
      <w:r w:rsidR="00F021F3">
        <w:t xml:space="preserve">, stakeholder involvement </w:t>
      </w:r>
      <w:r w:rsidR="002338ED">
        <w:t xml:space="preserve">is </w:t>
      </w:r>
      <w:r w:rsidR="00F021F3">
        <w:t>explicitly necessary and appreciated</w:t>
      </w:r>
      <w:r w:rsidR="008C14B8">
        <w:t>.</w:t>
      </w:r>
    </w:p>
    <w:p w14:paraId="1C62B12C" w14:textId="77777777" w:rsidR="00B33F8F" w:rsidRDefault="00B33F8F" w:rsidP="00FA025C"/>
    <w:p w14:paraId="3C7D536C" w14:textId="711898CC" w:rsidR="007B3DEC" w:rsidRDefault="007B3DEC" w:rsidP="00FA025C">
      <w:r w:rsidRPr="00B33F8F">
        <w:rPr>
          <w:b/>
        </w:rPr>
        <w:t>(ad</w:t>
      </w:r>
      <w:r w:rsidR="00CA774E">
        <w:rPr>
          <w:b/>
        </w:rPr>
        <w:t xml:space="preserve"> </w:t>
      </w:r>
      <w:r w:rsidRPr="00B33F8F">
        <w:rPr>
          <w:b/>
        </w:rPr>
        <w:t>hoc) Working Groups</w:t>
      </w:r>
      <w:r w:rsidR="00B33F8F">
        <w:t xml:space="preserve"> are</w:t>
      </w:r>
      <w:r w:rsidR="008C14B8">
        <w:t xml:space="preserve"> </w:t>
      </w:r>
      <w:r w:rsidR="00B33F8F">
        <w:t>i</w:t>
      </w:r>
      <w:r w:rsidR="008C14B8">
        <w:t xml:space="preserve">nstalled by TGs for elaborating on a certain aspect of issues targeted in the corresponding </w:t>
      </w:r>
      <w:r w:rsidR="00F021F3">
        <w:t>T</w:t>
      </w:r>
      <w:r w:rsidR="008C14B8">
        <w:t>G.</w:t>
      </w:r>
      <w:r w:rsidR="00B33F8F">
        <w:t xml:space="preserve"> WGs </w:t>
      </w:r>
    </w:p>
    <w:p w14:paraId="69245A7C" w14:textId="432A7FF3" w:rsidR="00B33F8F" w:rsidRDefault="00B33F8F" w:rsidP="00B33F8F">
      <w:pPr>
        <w:ind w:firstLine="720"/>
      </w:pPr>
      <w:r>
        <w:t>a. report to the TGs;</w:t>
      </w:r>
    </w:p>
    <w:p w14:paraId="32B02695" w14:textId="7975CA5B" w:rsidR="00B33F8F" w:rsidRDefault="00B33F8F" w:rsidP="00B33F8F">
      <w:pPr>
        <w:ind w:firstLine="720"/>
      </w:pPr>
      <w:r>
        <w:t xml:space="preserve">b. </w:t>
      </w:r>
      <w:proofErr w:type="gramStart"/>
      <w:r>
        <w:t>are</w:t>
      </w:r>
      <w:proofErr w:type="gramEnd"/>
      <w:r>
        <w:t xml:space="preserve"> chaired by CWSS staff or group member;</w:t>
      </w:r>
    </w:p>
    <w:p w14:paraId="2AC4EC4F" w14:textId="4710640F" w:rsidR="00B33F8F" w:rsidRDefault="00B33F8F" w:rsidP="00B33F8F">
      <w:pPr>
        <w:ind w:firstLine="720"/>
      </w:pPr>
      <w:r>
        <w:t xml:space="preserve">c. </w:t>
      </w:r>
      <w:proofErr w:type="gramStart"/>
      <w:r>
        <w:t>are</w:t>
      </w:r>
      <w:proofErr w:type="gramEnd"/>
      <w:r>
        <w:t xml:space="preserve"> temporary</w:t>
      </w:r>
      <w:r w:rsidR="00E17EF5">
        <w:t>.</w:t>
      </w:r>
    </w:p>
    <w:p w14:paraId="3B4A2777" w14:textId="26D8DECB" w:rsidR="006D4C5A" w:rsidRDefault="006D4C5A" w:rsidP="00B33F8F">
      <w:pPr>
        <w:ind w:firstLine="720"/>
      </w:pPr>
    </w:p>
    <w:p w14:paraId="68E7D986" w14:textId="56D3CF53" w:rsidR="006D4C5A" w:rsidRDefault="006D4C5A" w:rsidP="006D4C5A">
      <w:r>
        <w:t>All trilateral groups are requested to generally foster the exchange with other groups during the various processes.</w:t>
      </w:r>
      <w:r w:rsidR="00E17EF5">
        <w:t xml:space="preserve"> </w:t>
      </w:r>
    </w:p>
    <w:p w14:paraId="5FAA65CB" w14:textId="51B31D80" w:rsidR="00B33F8F" w:rsidRDefault="00B33F8F" w:rsidP="00B33F8F">
      <w:pPr>
        <w:ind w:firstLine="720"/>
      </w:pPr>
    </w:p>
    <w:p w14:paraId="2439F604" w14:textId="5E9FB3D8" w:rsidR="00B33F8F" w:rsidRDefault="00B33F8F" w:rsidP="00FA025C"/>
    <w:p w14:paraId="3681B36C" w14:textId="31C2819D" w:rsidR="00D14455" w:rsidRPr="00617074" w:rsidRDefault="00F021F3" w:rsidP="00FA025C">
      <w:r>
        <w:br w:type="page"/>
      </w:r>
      <w:r w:rsidR="004B0027" w:rsidRPr="00BE5FA0">
        <w:rPr>
          <w:b/>
          <w:i/>
        </w:rPr>
        <w:lastRenderedPageBreak/>
        <w:t xml:space="preserve">Table 1: TWSC groups as proposed by TWSC </w:t>
      </w:r>
      <w:r>
        <w:rPr>
          <w:b/>
          <w:i/>
        </w:rPr>
        <w:t xml:space="preserve">Review </w:t>
      </w:r>
      <w:r w:rsidR="004B0027" w:rsidRPr="00BE5FA0">
        <w:rPr>
          <w:b/>
          <w:i/>
        </w:rPr>
        <w:t>workshop participants and status of their Terms of Reference (</w:t>
      </w:r>
      <w:r w:rsidR="00C5066C">
        <w:rPr>
          <w:b/>
          <w:i/>
        </w:rPr>
        <w:t>TOR</w:t>
      </w:r>
      <w:r w:rsidR="004B0027" w:rsidRPr="00BE5FA0">
        <w:rPr>
          <w:b/>
          <w:i/>
        </w:rPr>
        <w:t>)</w:t>
      </w:r>
      <w:r w:rsidR="00457D57">
        <w:rPr>
          <w:b/>
          <w:i/>
        </w:rPr>
        <w:t xml:space="preserve"> as discussed by </w:t>
      </w:r>
      <w:r>
        <w:rPr>
          <w:b/>
          <w:i/>
        </w:rPr>
        <w:t xml:space="preserve">TWSC Review </w:t>
      </w:r>
      <w:r w:rsidR="00DF7B43">
        <w:rPr>
          <w:b/>
          <w:i/>
        </w:rPr>
        <w:t>C</w:t>
      </w:r>
      <w:r w:rsidR="00457D57">
        <w:rPr>
          <w:b/>
          <w:i/>
        </w:rPr>
        <w:t xml:space="preserve">ore </w:t>
      </w:r>
      <w:r w:rsidR="00DF7B43">
        <w:rPr>
          <w:b/>
          <w:i/>
        </w:rPr>
        <w:t>G</w:t>
      </w:r>
      <w:r w:rsidR="00457D57">
        <w:rPr>
          <w:b/>
          <w:i/>
        </w:rPr>
        <w:t>roup</w:t>
      </w:r>
      <w:r w:rsidR="004B0027" w:rsidRPr="00BE5FA0">
        <w:rPr>
          <w:b/>
          <w:i/>
        </w:rPr>
        <w:t>.</w:t>
      </w:r>
    </w:p>
    <w:p w14:paraId="29E4BB7D" w14:textId="77777777" w:rsidR="00DD0B82" w:rsidRPr="00BE5FA0" w:rsidRDefault="00DD0B82" w:rsidP="00FA025C">
      <w:pPr>
        <w:rPr>
          <w:b/>
          <w:i/>
        </w:rPr>
      </w:pPr>
    </w:p>
    <w:tbl>
      <w:tblPr>
        <w:tblW w:w="0" w:type="auto"/>
        <w:tblCellMar>
          <w:left w:w="70" w:type="dxa"/>
          <w:right w:w="70" w:type="dxa"/>
        </w:tblCellMar>
        <w:tblLook w:val="04A0" w:firstRow="1" w:lastRow="0" w:firstColumn="1" w:lastColumn="0" w:noHBand="0" w:noVBand="1"/>
      </w:tblPr>
      <w:tblGrid>
        <w:gridCol w:w="7230"/>
      </w:tblGrid>
      <w:tr w:rsidR="00180BAC" w:rsidRPr="00180BAC" w14:paraId="05692EAC" w14:textId="77777777" w:rsidTr="00D926EA">
        <w:tc>
          <w:tcPr>
            <w:tcW w:w="7230" w:type="dxa"/>
            <w:shd w:val="clear" w:color="auto" w:fill="0078B6"/>
            <w:tcMar>
              <w:top w:w="57" w:type="dxa"/>
              <w:left w:w="70" w:type="dxa"/>
              <w:bottom w:w="57" w:type="dxa"/>
              <w:right w:w="70" w:type="dxa"/>
            </w:tcMar>
            <w:hideMark/>
          </w:tcPr>
          <w:p w14:paraId="62B2696E" w14:textId="77777777" w:rsidR="00B229C8" w:rsidRPr="00180BAC" w:rsidRDefault="00B229C8" w:rsidP="00FA025C">
            <w:pPr>
              <w:rPr>
                <w:b/>
                <w:color w:val="FFFFFF" w:themeColor="background1"/>
              </w:rPr>
            </w:pPr>
            <w:bookmarkStart w:id="1" w:name="_Hlk536201437"/>
            <w:r w:rsidRPr="00180BAC">
              <w:rPr>
                <w:b/>
                <w:color w:val="FFFFFF" w:themeColor="background1"/>
              </w:rPr>
              <w:t>Task Groups</w:t>
            </w:r>
          </w:p>
        </w:tc>
      </w:tr>
      <w:tr w:rsidR="00B229C8" w:rsidRPr="00BA7CC8" w14:paraId="475F246F" w14:textId="77777777" w:rsidTr="00B229C8">
        <w:tc>
          <w:tcPr>
            <w:tcW w:w="7230" w:type="dxa"/>
            <w:tcBorders>
              <w:top w:val="nil"/>
              <w:left w:val="nil"/>
              <w:bottom w:val="single" w:sz="2" w:space="0" w:color="0078B6"/>
              <w:right w:val="single" w:sz="2" w:space="0" w:color="0078B6"/>
            </w:tcBorders>
            <w:tcMar>
              <w:top w:w="57" w:type="dxa"/>
              <w:left w:w="70" w:type="dxa"/>
              <w:bottom w:w="57" w:type="dxa"/>
              <w:right w:w="70" w:type="dxa"/>
            </w:tcMar>
            <w:hideMark/>
          </w:tcPr>
          <w:p w14:paraId="2F303CB3" w14:textId="2FD921E0" w:rsidR="00B229C8" w:rsidRPr="00A94EE6" w:rsidRDefault="00B229C8" w:rsidP="001602F0">
            <w:r w:rsidRPr="000769E9">
              <w:t>Task Group Management (TG-M)</w:t>
            </w:r>
          </w:p>
        </w:tc>
      </w:tr>
      <w:tr w:rsidR="00B229C8" w:rsidRPr="00BA7CC8" w14:paraId="134D71D8" w14:textId="77777777" w:rsidTr="00B229C8">
        <w:tc>
          <w:tcPr>
            <w:tcW w:w="7230" w:type="dxa"/>
            <w:tcBorders>
              <w:top w:val="nil"/>
              <w:left w:val="nil"/>
              <w:bottom w:val="single" w:sz="2" w:space="0" w:color="0078B6"/>
              <w:right w:val="single" w:sz="2" w:space="0" w:color="0078B6"/>
            </w:tcBorders>
            <w:tcMar>
              <w:top w:w="57" w:type="dxa"/>
              <w:left w:w="70" w:type="dxa"/>
              <w:bottom w:w="57" w:type="dxa"/>
              <w:right w:w="70" w:type="dxa"/>
            </w:tcMar>
          </w:tcPr>
          <w:p w14:paraId="28059DE0" w14:textId="5BE86072" w:rsidR="00B229C8" w:rsidRPr="00BA7CC8" w:rsidRDefault="00B229C8" w:rsidP="001602F0">
            <w:pPr>
              <w:rPr>
                <w:b/>
              </w:rPr>
            </w:pPr>
            <w:r w:rsidRPr="000769E9">
              <w:t>Task Group Moni</w:t>
            </w:r>
            <w:r>
              <w:t>tor</w:t>
            </w:r>
            <w:r w:rsidRPr="000769E9">
              <w:t>ing</w:t>
            </w:r>
            <w:r>
              <w:t xml:space="preserve"> &amp; Assessment</w:t>
            </w:r>
            <w:r w:rsidRPr="000769E9">
              <w:t xml:space="preserve"> (TG</w:t>
            </w:r>
            <w:r>
              <w:t>-M</w:t>
            </w:r>
            <w:r w:rsidR="006D4C5A">
              <w:t>A</w:t>
            </w:r>
            <w:r w:rsidRPr="000769E9">
              <w:t>)</w:t>
            </w:r>
          </w:p>
        </w:tc>
      </w:tr>
      <w:tr w:rsidR="00B229C8" w:rsidRPr="00BA7CC8" w14:paraId="680717C4" w14:textId="77777777" w:rsidTr="00180BAC">
        <w:tc>
          <w:tcPr>
            <w:tcW w:w="7230" w:type="dxa"/>
            <w:tcBorders>
              <w:top w:val="nil"/>
              <w:left w:val="nil"/>
              <w:bottom w:val="single" w:sz="2" w:space="0" w:color="0078B6"/>
              <w:right w:val="single" w:sz="2" w:space="0" w:color="0078B6"/>
            </w:tcBorders>
            <w:tcMar>
              <w:top w:w="57" w:type="dxa"/>
              <w:left w:w="70" w:type="dxa"/>
              <w:bottom w:w="57" w:type="dxa"/>
              <w:right w:w="70" w:type="dxa"/>
            </w:tcMar>
          </w:tcPr>
          <w:p w14:paraId="1D153187" w14:textId="77777777" w:rsidR="00B229C8" w:rsidRPr="000769E9" w:rsidRDefault="00B229C8" w:rsidP="00FA025C">
            <w:r w:rsidRPr="000769E9">
              <w:t>Task Group World Heritage (TG-WH)</w:t>
            </w:r>
          </w:p>
        </w:tc>
      </w:tr>
      <w:tr w:rsidR="00180BAC" w:rsidRPr="00180BAC" w14:paraId="511693C7" w14:textId="77777777" w:rsidTr="00D926EA">
        <w:tc>
          <w:tcPr>
            <w:tcW w:w="7230" w:type="dxa"/>
            <w:tcBorders>
              <w:top w:val="single" w:sz="2" w:space="0" w:color="0078B6"/>
              <w:bottom w:val="single" w:sz="2" w:space="0" w:color="0078B6"/>
            </w:tcBorders>
            <w:shd w:val="clear" w:color="auto" w:fill="0078B6"/>
            <w:tcMar>
              <w:top w:w="57" w:type="dxa"/>
              <w:left w:w="70" w:type="dxa"/>
              <w:bottom w:w="57" w:type="dxa"/>
              <w:right w:w="70" w:type="dxa"/>
            </w:tcMar>
          </w:tcPr>
          <w:p w14:paraId="5480D25B" w14:textId="25E66DF8" w:rsidR="00B229C8" w:rsidRPr="00180BAC" w:rsidRDefault="00B229C8" w:rsidP="00FA025C">
            <w:pPr>
              <w:rPr>
                <w:b/>
                <w:color w:val="FFFFFF" w:themeColor="background1"/>
              </w:rPr>
            </w:pPr>
            <w:r w:rsidRPr="00180BAC">
              <w:rPr>
                <w:b/>
                <w:color w:val="FFFFFF" w:themeColor="background1"/>
              </w:rPr>
              <w:t>Expert</w:t>
            </w:r>
            <w:r w:rsidR="006D4C5A" w:rsidRPr="00180BAC">
              <w:rPr>
                <w:b/>
                <w:color w:val="FFFFFF" w:themeColor="background1"/>
              </w:rPr>
              <w:t xml:space="preserve"> </w:t>
            </w:r>
            <w:r w:rsidR="000F6304" w:rsidRPr="00180BAC">
              <w:rPr>
                <w:b/>
                <w:color w:val="FFFFFF" w:themeColor="background1"/>
              </w:rPr>
              <w:t>Groups</w:t>
            </w:r>
          </w:p>
        </w:tc>
      </w:tr>
      <w:tr w:rsidR="00B229C8" w:rsidRPr="00BA7CC8" w14:paraId="21AE5414" w14:textId="77777777" w:rsidTr="00180BAC">
        <w:tc>
          <w:tcPr>
            <w:tcW w:w="7230" w:type="dxa"/>
            <w:tcBorders>
              <w:top w:val="single" w:sz="2" w:space="0" w:color="0078B6"/>
              <w:left w:val="nil"/>
              <w:bottom w:val="single" w:sz="2" w:space="0" w:color="0078B6"/>
              <w:right w:val="single" w:sz="2" w:space="0" w:color="0078B6"/>
            </w:tcBorders>
            <w:tcMar>
              <w:top w:w="57" w:type="dxa"/>
              <w:left w:w="70" w:type="dxa"/>
              <w:bottom w:w="57" w:type="dxa"/>
              <w:right w:w="70" w:type="dxa"/>
            </w:tcMar>
          </w:tcPr>
          <w:p w14:paraId="6A3023EA" w14:textId="47BD7F56" w:rsidR="00B229C8" w:rsidRPr="00A94EE6" w:rsidRDefault="00B229C8" w:rsidP="00CE754D">
            <w:r w:rsidRPr="000769E9">
              <w:t xml:space="preserve">Expert Group Climate </w:t>
            </w:r>
            <w:r>
              <w:t xml:space="preserve">Change Adaptation </w:t>
            </w:r>
            <w:r w:rsidRPr="000769E9">
              <w:t>(EG-C)</w:t>
            </w:r>
          </w:p>
        </w:tc>
      </w:tr>
      <w:tr w:rsidR="00B229C8" w:rsidRPr="00A94EE6" w14:paraId="76812E85" w14:textId="77777777" w:rsidTr="00B229C8">
        <w:tc>
          <w:tcPr>
            <w:tcW w:w="7230" w:type="dxa"/>
            <w:tcBorders>
              <w:top w:val="single" w:sz="2" w:space="0" w:color="0078B6"/>
              <w:left w:val="nil"/>
              <w:bottom w:val="single" w:sz="2" w:space="0" w:color="0078B6"/>
              <w:right w:val="single" w:sz="2" w:space="0" w:color="0078B6"/>
            </w:tcBorders>
            <w:tcMar>
              <w:top w:w="57" w:type="dxa"/>
              <w:left w:w="70" w:type="dxa"/>
              <w:bottom w:w="57" w:type="dxa"/>
              <w:right w:w="70" w:type="dxa"/>
            </w:tcMar>
          </w:tcPr>
          <w:p w14:paraId="37DC58AF" w14:textId="0CAF5879" w:rsidR="00B229C8" w:rsidRPr="00A94EE6" w:rsidRDefault="00B229C8" w:rsidP="00547E63">
            <w:r w:rsidRPr="000769E9">
              <w:t>Expert Group</w:t>
            </w:r>
            <w:r>
              <w:t>s Migratory and Breeding</w:t>
            </w:r>
            <w:r w:rsidRPr="000769E9">
              <w:t xml:space="preserve"> </w:t>
            </w:r>
            <w:r>
              <w:t>Birds (EG-M</w:t>
            </w:r>
            <w:r w:rsidRPr="000769E9">
              <w:t>B</w:t>
            </w:r>
            <w:r>
              <w:t>/</w:t>
            </w:r>
            <w:r w:rsidRPr="000769E9">
              <w:t>BB)</w:t>
            </w:r>
          </w:p>
        </w:tc>
      </w:tr>
      <w:tr w:rsidR="00B229C8" w:rsidRPr="00A94EE6" w14:paraId="5C896F64" w14:textId="77777777" w:rsidTr="00B229C8">
        <w:tc>
          <w:tcPr>
            <w:tcW w:w="7230" w:type="dxa"/>
            <w:tcBorders>
              <w:top w:val="single" w:sz="2" w:space="0" w:color="0078B6"/>
              <w:left w:val="nil"/>
              <w:bottom w:val="single" w:sz="2" w:space="0" w:color="0078B6"/>
              <w:right w:val="single" w:sz="2" w:space="0" w:color="0078B6"/>
            </w:tcBorders>
            <w:tcMar>
              <w:top w:w="57" w:type="dxa"/>
              <w:left w:w="70" w:type="dxa"/>
              <w:bottom w:w="57" w:type="dxa"/>
              <w:right w:w="70" w:type="dxa"/>
            </w:tcMar>
          </w:tcPr>
          <w:p w14:paraId="54E2A92A" w14:textId="24666D10" w:rsidR="00B229C8" w:rsidRPr="00C7618A" w:rsidRDefault="00B229C8" w:rsidP="00FA025C">
            <w:pPr>
              <w:rPr>
                <w:b/>
              </w:rPr>
            </w:pPr>
            <w:r w:rsidRPr="000769E9">
              <w:t>Expert Group Salt Marshes &amp; Dunes</w:t>
            </w:r>
            <w:r>
              <w:t xml:space="preserve"> (EG</w:t>
            </w:r>
            <w:r w:rsidR="00B14003">
              <w:t>-</w:t>
            </w:r>
            <w:r>
              <w:t>SMD</w:t>
            </w:r>
            <w:r w:rsidRPr="000769E9">
              <w:t>)</w:t>
            </w:r>
          </w:p>
        </w:tc>
      </w:tr>
      <w:tr w:rsidR="00B229C8" w:rsidRPr="00A94EE6" w14:paraId="0ACAFBB5" w14:textId="77777777" w:rsidTr="00B229C8">
        <w:tc>
          <w:tcPr>
            <w:tcW w:w="7230" w:type="dxa"/>
            <w:tcBorders>
              <w:top w:val="single" w:sz="2" w:space="0" w:color="0078B6"/>
              <w:left w:val="nil"/>
              <w:bottom w:val="single" w:sz="2" w:space="0" w:color="0078B6"/>
              <w:right w:val="single" w:sz="2" w:space="0" w:color="0078B6"/>
            </w:tcBorders>
            <w:tcMar>
              <w:top w:w="57" w:type="dxa"/>
              <w:left w:w="70" w:type="dxa"/>
              <w:bottom w:w="57" w:type="dxa"/>
              <w:right w:w="70" w:type="dxa"/>
            </w:tcMar>
          </w:tcPr>
          <w:p w14:paraId="1F8330AA" w14:textId="76F738F4" w:rsidR="00B229C8" w:rsidRPr="00A94EE6" w:rsidRDefault="00B229C8" w:rsidP="00FA025C">
            <w:r w:rsidRPr="000769E9">
              <w:t>Expert Group Seals (EG</w:t>
            </w:r>
            <w:r>
              <w:t>-Seals</w:t>
            </w:r>
            <w:r w:rsidRPr="000769E9">
              <w:t>)</w:t>
            </w:r>
          </w:p>
        </w:tc>
      </w:tr>
      <w:tr w:rsidR="00B229C8" w:rsidRPr="00A94EE6" w14:paraId="0A30C876" w14:textId="77777777" w:rsidTr="00180BAC">
        <w:tc>
          <w:tcPr>
            <w:tcW w:w="7230" w:type="dxa"/>
            <w:tcBorders>
              <w:top w:val="single" w:sz="2" w:space="0" w:color="0078B6"/>
              <w:left w:val="nil"/>
              <w:bottom w:val="single" w:sz="2" w:space="0" w:color="0078B6"/>
              <w:right w:val="single" w:sz="2" w:space="0" w:color="0078B6"/>
            </w:tcBorders>
            <w:tcMar>
              <w:top w:w="57" w:type="dxa"/>
              <w:left w:w="70" w:type="dxa"/>
              <w:bottom w:w="57" w:type="dxa"/>
              <w:right w:w="70" w:type="dxa"/>
            </w:tcMar>
          </w:tcPr>
          <w:p w14:paraId="2826F5B8" w14:textId="77777777" w:rsidR="00B229C8" w:rsidRPr="000769E9" w:rsidRDefault="00B229C8" w:rsidP="00FA025C">
            <w:r w:rsidRPr="000769E9">
              <w:t>Expert Group Data (</w:t>
            </w:r>
            <w:r>
              <w:t>EG-Data</w:t>
            </w:r>
            <w:r w:rsidRPr="000769E9">
              <w:t>)</w:t>
            </w:r>
          </w:p>
        </w:tc>
      </w:tr>
      <w:tr w:rsidR="00180BAC" w:rsidRPr="00180BAC" w14:paraId="2FA753B2" w14:textId="77777777" w:rsidTr="00D926EA">
        <w:tc>
          <w:tcPr>
            <w:tcW w:w="7230" w:type="dxa"/>
            <w:tcBorders>
              <w:top w:val="single" w:sz="2" w:space="0" w:color="0078B6"/>
              <w:bottom w:val="single" w:sz="2" w:space="0" w:color="0078B6"/>
            </w:tcBorders>
            <w:shd w:val="clear" w:color="auto" w:fill="0078B6"/>
            <w:tcMar>
              <w:top w:w="57" w:type="dxa"/>
              <w:left w:w="70" w:type="dxa"/>
              <w:bottom w:w="57" w:type="dxa"/>
              <w:right w:w="70" w:type="dxa"/>
            </w:tcMar>
          </w:tcPr>
          <w:p w14:paraId="14342620" w14:textId="5E83E278" w:rsidR="006D4C5A" w:rsidRPr="00180BAC" w:rsidRDefault="006D4C5A" w:rsidP="006D4C5A">
            <w:pPr>
              <w:rPr>
                <w:color w:val="FFFFFF" w:themeColor="background1"/>
              </w:rPr>
            </w:pPr>
            <w:r w:rsidRPr="00180BAC">
              <w:rPr>
                <w:b/>
                <w:color w:val="FFFFFF" w:themeColor="background1"/>
              </w:rPr>
              <w:t>Network Groups</w:t>
            </w:r>
          </w:p>
        </w:tc>
      </w:tr>
      <w:tr w:rsidR="006D4C5A" w:rsidRPr="00A94EE6" w14:paraId="7380B43F" w14:textId="77777777" w:rsidTr="00180BAC">
        <w:tc>
          <w:tcPr>
            <w:tcW w:w="7230" w:type="dxa"/>
            <w:tcBorders>
              <w:top w:val="single" w:sz="2" w:space="0" w:color="0078B6"/>
              <w:left w:val="nil"/>
              <w:bottom w:val="single" w:sz="2" w:space="0" w:color="0078B6"/>
              <w:right w:val="single" w:sz="2" w:space="0" w:color="0078B6"/>
            </w:tcBorders>
            <w:tcMar>
              <w:top w:w="57" w:type="dxa"/>
              <w:left w:w="70" w:type="dxa"/>
              <w:bottom w:w="57" w:type="dxa"/>
              <w:right w:w="70" w:type="dxa"/>
            </w:tcMar>
          </w:tcPr>
          <w:p w14:paraId="0C870CE5" w14:textId="77777777" w:rsidR="006D4C5A" w:rsidRPr="000769E9" w:rsidRDefault="006D4C5A" w:rsidP="006D4C5A">
            <w:r w:rsidRPr="000769E9">
              <w:t xml:space="preserve">Network Group </w:t>
            </w:r>
            <w:r>
              <w:t>Education</w:t>
            </w:r>
            <w:r w:rsidRPr="000769E9">
              <w:t xml:space="preserve"> (NG</w:t>
            </w:r>
            <w:r>
              <w:t>-</w:t>
            </w:r>
            <w:r w:rsidRPr="000769E9">
              <w:t>E)</w:t>
            </w:r>
          </w:p>
        </w:tc>
      </w:tr>
      <w:tr w:rsidR="006D4C5A" w:rsidRPr="00A94EE6" w14:paraId="1F5E0B4B" w14:textId="77777777" w:rsidTr="00180BAC">
        <w:tc>
          <w:tcPr>
            <w:tcW w:w="7230" w:type="dxa"/>
            <w:tcBorders>
              <w:top w:val="single" w:sz="2" w:space="0" w:color="0078B6"/>
              <w:left w:val="nil"/>
              <w:bottom w:val="single" w:sz="2" w:space="0" w:color="0078B6"/>
              <w:right w:val="single" w:sz="2" w:space="0" w:color="0078B6"/>
            </w:tcBorders>
            <w:tcMar>
              <w:top w:w="57" w:type="dxa"/>
              <w:left w:w="70" w:type="dxa"/>
              <w:bottom w:w="57" w:type="dxa"/>
              <w:right w:w="70" w:type="dxa"/>
            </w:tcMar>
          </w:tcPr>
          <w:p w14:paraId="2B8FD637" w14:textId="77777777" w:rsidR="006D4C5A" w:rsidRPr="000769E9" w:rsidRDefault="006D4C5A" w:rsidP="006D4C5A">
            <w:r w:rsidRPr="000769E9">
              <w:t>Network Group Sustainable</w:t>
            </w:r>
            <w:r>
              <w:t xml:space="preserve"> </w:t>
            </w:r>
            <w:r w:rsidRPr="000769E9">
              <w:t>Tourism (</w:t>
            </w:r>
            <w:r>
              <w:t>NG-ST</w:t>
            </w:r>
            <w:r w:rsidRPr="000769E9">
              <w:t>)</w:t>
            </w:r>
          </w:p>
        </w:tc>
      </w:tr>
      <w:tr w:rsidR="006D4C5A" w:rsidRPr="00BA7CC8" w14:paraId="494A2603" w14:textId="77777777" w:rsidTr="00D926EA">
        <w:tc>
          <w:tcPr>
            <w:tcW w:w="7230" w:type="dxa"/>
            <w:tcBorders>
              <w:top w:val="single" w:sz="2" w:space="0" w:color="0078B6"/>
              <w:bottom w:val="single" w:sz="2" w:space="0" w:color="0078B6"/>
            </w:tcBorders>
            <w:shd w:val="clear" w:color="auto" w:fill="0078B6"/>
            <w:tcMar>
              <w:top w:w="57" w:type="dxa"/>
              <w:left w:w="70" w:type="dxa"/>
              <w:bottom w:w="57" w:type="dxa"/>
              <w:right w:w="70" w:type="dxa"/>
            </w:tcMar>
          </w:tcPr>
          <w:p w14:paraId="78F5117D" w14:textId="747DF60A" w:rsidR="006D4C5A" w:rsidRPr="00180BAC" w:rsidRDefault="006D4C5A" w:rsidP="006D4C5A">
            <w:pPr>
              <w:rPr>
                <w:b/>
                <w:color w:val="FFFFFF" w:themeColor="background1"/>
              </w:rPr>
            </w:pPr>
            <w:r w:rsidRPr="00180BAC">
              <w:rPr>
                <w:b/>
                <w:color w:val="FFFFFF" w:themeColor="background1"/>
              </w:rPr>
              <w:t>Ad hoc Working Groups</w:t>
            </w:r>
          </w:p>
        </w:tc>
      </w:tr>
      <w:tr w:rsidR="006D4C5A" w:rsidRPr="00A94EE6" w14:paraId="6FE9E323" w14:textId="77777777" w:rsidTr="00180BAC">
        <w:tc>
          <w:tcPr>
            <w:tcW w:w="7230" w:type="dxa"/>
            <w:tcBorders>
              <w:top w:val="single" w:sz="2" w:space="0" w:color="0078B6"/>
              <w:left w:val="nil"/>
              <w:bottom w:val="single" w:sz="2" w:space="0" w:color="0078B6"/>
              <w:right w:val="single" w:sz="2" w:space="0" w:color="0078B6"/>
            </w:tcBorders>
            <w:tcMar>
              <w:top w:w="57" w:type="dxa"/>
              <w:left w:w="70" w:type="dxa"/>
              <w:bottom w:w="57" w:type="dxa"/>
              <w:right w:w="70" w:type="dxa"/>
            </w:tcMar>
          </w:tcPr>
          <w:p w14:paraId="3CA10AE5" w14:textId="4ABB50F8" w:rsidR="006D4C5A" w:rsidRPr="000769E9" w:rsidRDefault="006D4C5A" w:rsidP="006D4C5A">
            <w:r w:rsidRPr="000769E9">
              <w:t xml:space="preserve">Ad hoc </w:t>
            </w:r>
            <w:r>
              <w:t>W</w:t>
            </w:r>
            <w:r w:rsidRPr="000769E9">
              <w:t xml:space="preserve">orking </w:t>
            </w:r>
            <w:r>
              <w:t>G</w:t>
            </w:r>
            <w:r w:rsidRPr="000769E9">
              <w:t>roup Alien Species (1 year) (</w:t>
            </w:r>
            <w:r>
              <w:t xml:space="preserve">ad hoc </w:t>
            </w:r>
            <w:r w:rsidRPr="000769E9">
              <w:t xml:space="preserve">WG-AS) </w:t>
            </w:r>
          </w:p>
        </w:tc>
      </w:tr>
      <w:tr w:rsidR="006D4C5A" w:rsidRPr="00A94EE6" w14:paraId="0490BD71" w14:textId="77777777" w:rsidTr="00180BAC">
        <w:tc>
          <w:tcPr>
            <w:tcW w:w="7230" w:type="dxa"/>
            <w:tcBorders>
              <w:top w:val="single" w:sz="2" w:space="0" w:color="0078B6"/>
              <w:left w:val="nil"/>
              <w:bottom w:val="single" w:sz="2" w:space="0" w:color="0078B6"/>
              <w:right w:val="single" w:sz="2" w:space="0" w:color="0078B6"/>
            </w:tcBorders>
            <w:tcMar>
              <w:top w:w="57" w:type="dxa"/>
              <w:left w:w="70" w:type="dxa"/>
              <w:bottom w:w="57" w:type="dxa"/>
              <w:right w:w="70" w:type="dxa"/>
            </w:tcMar>
          </w:tcPr>
          <w:p w14:paraId="7ABBA6DA" w14:textId="1F7BFBB5" w:rsidR="006D4C5A" w:rsidRPr="000769E9" w:rsidRDefault="006D4C5A" w:rsidP="006D4C5A">
            <w:r>
              <w:t>Ad hoc Working Group</w:t>
            </w:r>
            <w:r w:rsidRPr="000769E9">
              <w:t xml:space="preserve"> Swimway (1 year) (</w:t>
            </w:r>
            <w:r>
              <w:t>ad hoc WG-Swimway</w:t>
            </w:r>
            <w:r w:rsidRPr="000769E9">
              <w:t>)</w:t>
            </w:r>
          </w:p>
        </w:tc>
      </w:tr>
      <w:tr w:rsidR="00180BAC" w:rsidRPr="00180BAC" w14:paraId="6F0402D1" w14:textId="77777777" w:rsidTr="00D926EA">
        <w:tc>
          <w:tcPr>
            <w:tcW w:w="7230" w:type="dxa"/>
            <w:tcBorders>
              <w:top w:val="single" w:sz="2" w:space="0" w:color="0078B6"/>
              <w:left w:val="nil"/>
              <w:bottom w:val="single" w:sz="2" w:space="0" w:color="0078B6"/>
              <w:right w:val="single" w:sz="2" w:space="0" w:color="0078B6"/>
            </w:tcBorders>
            <w:shd w:val="clear" w:color="auto" w:fill="0078B6"/>
            <w:tcMar>
              <w:top w:w="57" w:type="dxa"/>
              <w:left w:w="70" w:type="dxa"/>
              <w:bottom w:w="57" w:type="dxa"/>
              <w:right w:w="70" w:type="dxa"/>
            </w:tcMar>
          </w:tcPr>
          <w:p w14:paraId="11CB6227" w14:textId="163257FE" w:rsidR="006D4C5A" w:rsidRPr="00180BAC" w:rsidRDefault="006D4C5A" w:rsidP="006D4C5A">
            <w:pPr>
              <w:rPr>
                <w:b/>
                <w:color w:val="FFFFFF" w:themeColor="background1"/>
              </w:rPr>
            </w:pPr>
            <w:r w:rsidRPr="00180BAC">
              <w:rPr>
                <w:b/>
                <w:color w:val="FFFFFF" w:themeColor="background1"/>
              </w:rPr>
              <w:t>Other groups</w:t>
            </w:r>
          </w:p>
        </w:tc>
      </w:tr>
      <w:tr w:rsidR="006D4C5A" w:rsidRPr="00A94EE6" w14:paraId="427F27DC" w14:textId="77777777" w:rsidTr="00B229C8">
        <w:tc>
          <w:tcPr>
            <w:tcW w:w="7230" w:type="dxa"/>
            <w:tcBorders>
              <w:top w:val="single" w:sz="2" w:space="0" w:color="0078B6"/>
              <w:left w:val="nil"/>
              <w:bottom w:val="single" w:sz="2" w:space="0" w:color="0078B6"/>
              <w:right w:val="single" w:sz="2" w:space="0" w:color="0078B6"/>
            </w:tcBorders>
            <w:tcMar>
              <w:top w:w="57" w:type="dxa"/>
              <w:left w:w="70" w:type="dxa"/>
              <w:bottom w:w="57" w:type="dxa"/>
              <w:right w:w="70" w:type="dxa"/>
            </w:tcMar>
          </w:tcPr>
          <w:p w14:paraId="2E3773F1" w14:textId="77777777" w:rsidR="006D4C5A" w:rsidRPr="000769E9" w:rsidRDefault="006D4C5A" w:rsidP="006D4C5A">
            <w:r w:rsidRPr="001606F8">
              <w:t xml:space="preserve">Operational Team </w:t>
            </w:r>
            <w:r w:rsidRPr="0086665D">
              <w:t>Partnership Hub (OPteamPH)</w:t>
            </w:r>
          </w:p>
        </w:tc>
      </w:tr>
      <w:bookmarkEnd w:id="1"/>
    </w:tbl>
    <w:p w14:paraId="1B27D054" w14:textId="77777777" w:rsidR="00594CC3" w:rsidRDefault="00594CC3" w:rsidP="00FA025C"/>
    <w:p w14:paraId="1B7189EF" w14:textId="7CC8DA7D" w:rsidR="00D14455" w:rsidRPr="0086665D" w:rsidRDefault="006738D5" w:rsidP="00FA025C">
      <w:r>
        <w:rPr>
          <w:b/>
        </w:rPr>
        <w:t>TWSC r</w:t>
      </w:r>
      <w:r w:rsidR="003D3EB7" w:rsidRPr="006738D5">
        <w:rPr>
          <w:b/>
        </w:rPr>
        <w:t xml:space="preserve">elated </w:t>
      </w:r>
      <w:r w:rsidR="004B0027" w:rsidRPr="006738D5">
        <w:rPr>
          <w:b/>
        </w:rPr>
        <w:t>group</w:t>
      </w:r>
      <w:r w:rsidR="00154395">
        <w:t xml:space="preserve"> not considered during the review process</w:t>
      </w:r>
      <w:r w:rsidR="00D14455" w:rsidRPr="0086665D">
        <w:t>:</w:t>
      </w:r>
    </w:p>
    <w:p w14:paraId="3B97BB15" w14:textId="4E86DB1D" w:rsidR="00D14455" w:rsidRDefault="00D14455" w:rsidP="00FA025C">
      <w:r>
        <w:t>Wadden Sea Flyway Initiative Steering Group</w:t>
      </w:r>
      <w:r w:rsidR="00154395">
        <w:t xml:space="preserve"> (WSFI </w:t>
      </w:r>
      <w:r w:rsidR="00154395" w:rsidRPr="0006057D">
        <w:t>Steering Group)</w:t>
      </w:r>
      <w:r w:rsidR="001602F0">
        <w:t xml:space="preserve"> is a permanent </w:t>
      </w:r>
      <w:r w:rsidR="005F5210">
        <w:t>g</w:t>
      </w:r>
      <w:r w:rsidR="001602F0">
        <w:t xml:space="preserve">roup for </w:t>
      </w:r>
      <w:r w:rsidR="006738D5">
        <w:t xml:space="preserve">coordination and </w:t>
      </w:r>
      <w:r w:rsidR="001602F0">
        <w:t xml:space="preserve">partnering </w:t>
      </w:r>
      <w:r w:rsidR="006738D5">
        <w:t xml:space="preserve">WSFI signatories </w:t>
      </w:r>
      <w:r w:rsidR="001602F0">
        <w:t xml:space="preserve">and </w:t>
      </w:r>
      <w:r w:rsidR="006738D5">
        <w:t>WSFI-</w:t>
      </w:r>
      <w:r w:rsidR="001602F0">
        <w:t>implementation, chaired by CWSS</w:t>
      </w:r>
      <w:r w:rsidR="006738D5">
        <w:t xml:space="preserve"> and </w:t>
      </w:r>
      <w:r w:rsidR="00EE6C47" w:rsidRPr="0006057D">
        <w:t>could be regarded as a network group</w:t>
      </w:r>
      <w:r w:rsidR="006738D5">
        <w:t>.</w:t>
      </w:r>
    </w:p>
    <w:p w14:paraId="476D1A14" w14:textId="7D0F370F" w:rsidR="00F021F3" w:rsidRDefault="00F021F3" w:rsidP="00FA025C"/>
    <w:p w14:paraId="4BC04524" w14:textId="5464F291" w:rsidR="0006057D" w:rsidRDefault="0006057D">
      <w:r>
        <w:br w:type="page"/>
      </w:r>
    </w:p>
    <w:p w14:paraId="270AC927" w14:textId="2E56CE51" w:rsidR="00BA16E5" w:rsidRDefault="00117958" w:rsidP="00FA025C">
      <w:pPr>
        <w:rPr>
          <w:b/>
          <w:i/>
        </w:rPr>
      </w:pPr>
      <w:r>
        <w:rPr>
          <w:b/>
          <w:i/>
          <w:noProof/>
        </w:rPr>
        <w:lastRenderedPageBreak/>
        <w:drawing>
          <wp:inline distT="0" distB="0" distL="0" distR="0" wp14:anchorId="5335C7E0" wp14:editId="29003C96">
            <wp:extent cx="5200153" cy="3900271"/>
            <wp:effectExtent l="0" t="0" r="635" b="508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WSC-Organogram-as-proposed-by-core-group (19-03-04).jpg"/>
                    <pic:cNvPicPr/>
                  </pic:nvPicPr>
                  <pic:blipFill>
                    <a:blip r:embed="rId9">
                      <a:extLst>
                        <a:ext uri="{28A0092B-C50C-407E-A947-70E740481C1C}">
                          <a14:useLocalDpi xmlns:a14="http://schemas.microsoft.com/office/drawing/2010/main" val="0"/>
                        </a:ext>
                      </a:extLst>
                    </a:blip>
                    <a:stretch>
                      <a:fillRect/>
                    </a:stretch>
                  </pic:blipFill>
                  <pic:spPr>
                    <a:xfrm>
                      <a:off x="0" y="0"/>
                      <a:ext cx="5229225" cy="3922076"/>
                    </a:xfrm>
                    <a:prstGeom prst="rect">
                      <a:avLst/>
                    </a:prstGeom>
                  </pic:spPr>
                </pic:pic>
              </a:graphicData>
            </a:graphic>
          </wp:inline>
        </w:drawing>
      </w:r>
    </w:p>
    <w:p w14:paraId="49495A1E" w14:textId="77777777" w:rsidR="00BA16E5" w:rsidRDefault="00BA16E5" w:rsidP="00FA025C">
      <w:pPr>
        <w:rPr>
          <w:b/>
          <w:i/>
        </w:rPr>
      </w:pPr>
    </w:p>
    <w:p w14:paraId="3832E501" w14:textId="2BF571D4" w:rsidR="008F550D" w:rsidRDefault="00D14455">
      <w:pPr>
        <w:rPr>
          <w:b/>
          <w:i/>
        </w:rPr>
      </w:pPr>
      <w:r w:rsidRPr="00BE5FA0">
        <w:rPr>
          <w:b/>
          <w:i/>
        </w:rPr>
        <w:t>Figure</w:t>
      </w:r>
      <w:r w:rsidR="004B0027" w:rsidRPr="00BE5FA0">
        <w:rPr>
          <w:b/>
          <w:i/>
        </w:rPr>
        <w:t xml:space="preserve"> 1</w:t>
      </w:r>
      <w:r w:rsidRPr="00BE5FA0">
        <w:rPr>
          <w:b/>
          <w:i/>
        </w:rPr>
        <w:t xml:space="preserve">: Organogram of TWSC groups as </w:t>
      </w:r>
      <w:r w:rsidR="00902C72">
        <w:rPr>
          <w:b/>
          <w:i/>
        </w:rPr>
        <w:t>discussed</w:t>
      </w:r>
      <w:r w:rsidR="00902C72" w:rsidRPr="00BE5FA0">
        <w:rPr>
          <w:b/>
          <w:i/>
        </w:rPr>
        <w:t xml:space="preserve"> </w:t>
      </w:r>
      <w:r w:rsidRPr="00BE5FA0">
        <w:rPr>
          <w:b/>
          <w:i/>
        </w:rPr>
        <w:t xml:space="preserve">by </w:t>
      </w:r>
      <w:r w:rsidR="00C02750">
        <w:rPr>
          <w:b/>
          <w:i/>
        </w:rPr>
        <w:t xml:space="preserve">the </w:t>
      </w:r>
      <w:r w:rsidR="000C2C4D">
        <w:rPr>
          <w:b/>
          <w:i/>
        </w:rPr>
        <w:t xml:space="preserve">TWSC Review </w:t>
      </w:r>
      <w:r w:rsidR="00C02750">
        <w:rPr>
          <w:b/>
          <w:i/>
        </w:rPr>
        <w:t>Core Group.</w:t>
      </w:r>
      <w:r w:rsidR="008F550D">
        <w:rPr>
          <w:b/>
          <w:i/>
        </w:rPr>
        <w:br w:type="page"/>
      </w:r>
    </w:p>
    <w:p w14:paraId="70B0A18A" w14:textId="733AB3F5" w:rsidR="00C475C2" w:rsidRPr="00617074" w:rsidRDefault="00594CC3" w:rsidP="00BE5FA0">
      <w:pPr>
        <w:pStyle w:val="Header2"/>
        <w:rPr>
          <w:b w:val="0"/>
          <w:sz w:val="28"/>
          <w:lang w:val="en-US"/>
        </w:rPr>
      </w:pPr>
      <w:r w:rsidRPr="00617074">
        <w:rPr>
          <w:b w:val="0"/>
          <w:sz w:val="28"/>
        </w:rPr>
        <w:lastRenderedPageBreak/>
        <w:t>General recommendations by the TWSC review workshop</w:t>
      </w:r>
      <w:r w:rsidR="00BE5FA0" w:rsidRPr="00617074">
        <w:rPr>
          <w:b w:val="0"/>
          <w:sz w:val="28"/>
        </w:rPr>
        <w:t xml:space="preserve"> participants</w:t>
      </w:r>
      <w:r w:rsidR="00F021F3" w:rsidRPr="00617074">
        <w:rPr>
          <w:b w:val="0"/>
          <w:sz w:val="28"/>
        </w:rPr>
        <w:t xml:space="preserve"> and conclusions of the TWSC Review Core Group</w:t>
      </w:r>
    </w:p>
    <w:p w14:paraId="6AB39033" w14:textId="058752F9" w:rsidR="00D810A1" w:rsidRPr="00DC79DC" w:rsidRDefault="00C475C2" w:rsidP="00FA025C">
      <w:pPr>
        <w:pStyle w:val="Bulletbold"/>
        <w:rPr>
          <w:b w:val="0"/>
        </w:rPr>
      </w:pPr>
      <w:r w:rsidRPr="00DC79DC">
        <w:rPr>
          <w:b w:val="0"/>
        </w:rPr>
        <w:t xml:space="preserve">All Expert Groups shall address their reports to both </w:t>
      </w:r>
      <w:r w:rsidR="00F021F3">
        <w:rPr>
          <w:b w:val="0"/>
        </w:rPr>
        <w:t>T</w:t>
      </w:r>
      <w:r w:rsidRPr="00DC79DC">
        <w:rPr>
          <w:b w:val="0"/>
        </w:rPr>
        <w:t xml:space="preserve">ask </w:t>
      </w:r>
      <w:r w:rsidR="00C77669">
        <w:rPr>
          <w:b w:val="0"/>
        </w:rPr>
        <w:t>G</w:t>
      </w:r>
      <w:r w:rsidRPr="00DC79DC">
        <w:rPr>
          <w:b w:val="0"/>
        </w:rPr>
        <w:t xml:space="preserve">roups </w:t>
      </w:r>
      <w:r w:rsidR="00C77669">
        <w:rPr>
          <w:b w:val="0"/>
        </w:rPr>
        <w:t>TG-M and TG-M</w:t>
      </w:r>
      <w:r w:rsidR="006D4C5A">
        <w:rPr>
          <w:b w:val="0"/>
        </w:rPr>
        <w:t>A</w:t>
      </w:r>
      <w:r w:rsidR="00C77669">
        <w:rPr>
          <w:b w:val="0"/>
        </w:rPr>
        <w:t xml:space="preserve"> </w:t>
      </w:r>
      <w:r w:rsidRPr="00DC79DC">
        <w:rPr>
          <w:b w:val="0"/>
        </w:rPr>
        <w:t>if both management and moni</w:t>
      </w:r>
      <w:r w:rsidR="00ED35E0">
        <w:rPr>
          <w:b w:val="0"/>
        </w:rPr>
        <w:t>tor</w:t>
      </w:r>
      <w:r w:rsidRPr="00DC79DC">
        <w:rPr>
          <w:b w:val="0"/>
        </w:rPr>
        <w:t>ing matters are covered and each of the two Task Groups should address those elements of the reports falling under its respective remit;</w:t>
      </w:r>
      <w:r w:rsidR="00D810A1" w:rsidRPr="00DC79DC">
        <w:rPr>
          <w:b w:val="0"/>
        </w:rPr>
        <w:t xml:space="preserve"> </w:t>
      </w:r>
    </w:p>
    <w:p w14:paraId="5C58D78F" w14:textId="6F44AA42" w:rsidR="00D810A1" w:rsidRPr="00DC79DC" w:rsidRDefault="00D810A1" w:rsidP="00FA025C">
      <w:pPr>
        <w:pStyle w:val="Bulletbold"/>
        <w:rPr>
          <w:b w:val="0"/>
        </w:rPr>
      </w:pPr>
      <w:r w:rsidRPr="00DC79DC">
        <w:rPr>
          <w:b w:val="0"/>
        </w:rPr>
        <w:t xml:space="preserve">The nomenclature and structure applied to the various groups </w:t>
      </w:r>
      <w:r w:rsidR="00C77669">
        <w:rPr>
          <w:b w:val="0"/>
        </w:rPr>
        <w:t>was</w:t>
      </w:r>
      <w:r w:rsidR="00C77669" w:rsidRPr="00DC79DC">
        <w:rPr>
          <w:b w:val="0"/>
        </w:rPr>
        <w:t xml:space="preserve"> </w:t>
      </w:r>
      <w:r w:rsidRPr="00DC79DC">
        <w:rPr>
          <w:b w:val="0"/>
        </w:rPr>
        <w:t xml:space="preserve">not entirely appropriate and also partially inconsistent with that of the 2010 Joint Declaration. </w:t>
      </w:r>
      <w:r w:rsidR="009C7C48">
        <w:rPr>
          <w:b w:val="0"/>
        </w:rPr>
        <w:t xml:space="preserve">As a </w:t>
      </w:r>
      <w:r w:rsidR="0068365D">
        <w:rPr>
          <w:b w:val="0"/>
        </w:rPr>
        <w:t>result,</w:t>
      </w:r>
      <w:r w:rsidR="009C7C48">
        <w:rPr>
          <w:b w:val="0"/>
        </w:rPr>
        <w:t xml:space="preserve"> a number of groups </w:t>
      </w:r>
      <w:r w:rsidR="007B3DEC">
        <w:rPr>
          <w:b w:val="0"/>
        </w:rPr>
        <w:t>should be</w:t>
      </w:r>
      <w:r w:rsidR="009C7C48">
        <w:rPr>
          <w:b w:val="0"/>
        </w:rPr>
        <w:t xml:space="preserve"> renamed</w:t>
      </w:r>
      <w:r w:rsidR="00C77669">
        <w:rPr>
          <w:b w:val="0"/>
        </w:rPr>
        <w:t xml:space="preserve"> and groups </w:t>
      </w:r>
      <w:r w:rsidR="00427D6A">
        <w:rPr>
          <w:b w:val="0"/>
        </w:rPr>
        <w:t>should be</w:t>
      </w:r>
      <w:r w:rsidR="00C77669">
        <w:rPr>
          <w:b w:val="0"/>
        </w:rPr>
        <w:t xml:space="preserve"> categorized and re-structured (see page 2</w:t>
      </w:r>
      <w:r w:rsidR="00DF30D8">
        <w:rPr>
          <w:b w:val="0"/>
        </w:rPr>
        <w:t>);</w:t>
      </w:r>
    </w:p>
    <w:p w14:paraId="0DECB956" w14:textId="306957CD" w:rsidR="00D810A1" w:rsidRPr="00DC79DC" w:rsidRDefault="007E20D3" w:rsidP="00FA025C">
      <w:pPr>
        <w:pStyle w:val="Bulletbold"/>
        <w:rPr>
          <w:b w:val="0"/>
        </w:rPr>
      </w:pPr>
      <w:r>
        <w:rPr>
          <w:b w:val="0"/>
        </w:rPr>
        <w:t xml:space="preserve">To value the essential work of the </w:t>
      </w:r>
      <w:r w:rsidR="00D810A1" w:rsidRPr="00DC79DC">
        <w:rPr>
          <w:b w:val="0"/>
        </w:rPr>
        <w:t xml:space="preserve">Expert </w:t>
      </w:r>
      <w:r w:rsidR="005C7A9E">
        <w:rPr>
          <w:b w:val="0"/>
        </w:rPr>
        <w:t xml:space="preserve">and Network </w:t>
      </w:r>
      <w:r w:rsidR="00D810A1" w:rsidRPr="00DC79DC">
        <w:rPr>
          <w:b w:val="0"/>
        </w:rPr>
        <w:t xml:space="preserve">Groups </w:t>
      </w:r>
      <w:r>
        <w:rPr>
          <w:b w:val="0"/>
        </w:rPr>
        <w:t xml:space="preserve">they </w:t>
      </w:r>
      <w:r w:rsidR="00D810A1" w:rsidRPr="00DC79DC">
        <w:rPr>
          <w:b w:val="0"/>
        </w:rPr>
        <w:t>should be given the opportunity to report directly to the WSB once a year.</w:t>
      </w:r>
    </w:p>
    <w:p w14:paraId="1F4DBFFB" w14:textId="1D2B42F9" w:rsidR="00C475C2" w:rsidRPr="00DC79DC" w:rsidRDefault="00D810A1" w:rsidP="00FA025C">
      <w:pPr>
        <w:pStyle w:val="Bulletbold"/>
        <w:rPr>
          <w:rFonts w:ascii="Arial" w:hAnsi="Arial" w:cs="Arial"/>
          <w:b w:val="0"/>
          <w:szCs w:val="28"/>
        </w:rPr>
      </w:pPr>
      <w:r w:rsidRPr="00DC79DC">
        <w:rPr>
          <w:b w:val="0"/>
        </w:rPr>
        <w:t>To take account of the general wish expressed by the groups for enhanced communication between them, suggestions should be brought forward on how to achieve this, e.g., by mutual representation or “sharing of” members between different groups, back-to-back meetings, joint symposia, etc.</w:t>
      </w:r>
      <w:r w:rsidR="00D167A7" w:rsidRPr="00DC79DC">
        <w:rPr>
          <w:b w:val="0"/>
        </w:rPr>
        <w:t xml:space="preserve"> The WSB </w:t>
      </w:r>
      <w:r w:rsidR="005C7A9E">
        <w:rPr>
          <w:b w:val="0"/>
        </w:rPr>
        <w:t>is requested to</w:t>
      </w:r>
      <w:r w:rsidR="005C7A9E" w:rsidRPr="00DC79DC">
        <w:rPr>
          <w:b w:val="0"/>
        </w:rPr>
        <w:t xml:space="preserve"> </w:t>
      </w:r>
      <w:r w:rsidR="00D167A7" w:rsidRPr="00DC79DC">
        <w:rPr>
          <w:b w:val="0"/>
        </w:rPr>
        <w:t>instruct chairpersons of the respective groups and secretaries towards achieving this</w:t>
      </w:r>
      <w:r w:rsidR="00DF30D8">
        <w:rPr>
          <w:b w:val="0"/>
        </w:rPr>
        <w:t>;</w:t>
      </w:r>
    </w:p>
    <w:p w14:paraId="3D5A2699" w14:textId="6736F57A" w:rsidR="00D167A7" w:rsidRPr="00DC79DC" w:rsidRDefault="00D167A7" w:rsidP="00FA025C">
      <w:pPr>
        <w:pStyle w:val="Bulletbold"/>
        <w:rPr>
          <w:b w:val="0"/>
        </w:rPr>
      </w:pPr>
      <w:r w:rsidRPr="00DC79DC">
        <w:rPr>
          <w:b w:val="0"/>
        </w:rPr>
        <w:t xml:space="preserve">Annual </w:t>
      </w:r>
      <w:r w:rsidR="005C7A9E">
        <w:rPr>
          <w:b w:val="0"/>
        </w:rPr>
        <w:t xml:space="preserve">written </w:t>
      </w:r>
      <w:r w:rsidRPr="00DC79DC">
        <w:rPr>
          <w:b w:val="0"/>
        </w:rPr>
        <w:t xml:space="preserve">reports of Groups are not necessary and should be removed from all </w:t>
      </w:r>
      <w:r w:rsidR="00C5066C">
        <w:rPr>
          <w:b w:val="0"/>
        </w:rPr>
        <w:t>TOR</w:t>
      </w:r>
      <w:r w:rsidRPr="00DC79DC">
        <w:rPr>
          <w:b w:val="0"/>
        </w:rPr>
        <w:t>.</w:t>
      </w:r>
      <w:r w:rsidR="005C7A9E">
        <w:rPr>
          <w:b w:val="0"/>
        </w:rPr>
        <w:t xml:space="preserve"> TGs </w:t>
      </w:r>
      <w:r w:rsidR="00DF30D8">
        <w:rPr>
          <w:b w:val="0"/>
        </w:rPr>
        <w:t xml:space="preserve">should </w:t>
      </w:r>
      <w:r w:rsidR="005C7A9E">
        <w:rPr>
          <w:b w:val="0"/>
        </w:rPr>
        <w:t xml:space="preserve">report regularly to WSB, EGs and NGs </w:t>
      </w:r>
      <w:r w:rsidR="00DF30D8">
        <w:rPr>
          <w:b w:val="0"/>
        </w:rPr>
        <w:t xml:space="preserve">should </w:t>
      </w:r>
      <w:r w:rsidR="005C7A9E">
        <w:rPr>
          <w:b w:val="0"/>
        </w:rPr>
        <w:t>have the opportunity to report to WSB annually, if they wish to do so</w:t>
      </w:r>
      <w:r w:rsidR="00DF30D8">
        <w:rPr>
          <w:b w:val="0"/>
        </w:rPr>
        <w:t>;</w:t>
      </w:r>
    </w:p>
    <w:p w14:paraId="7F6EDF66" w14:textId="53E22F27" w:rsidR="00D810A1" w:rsidRPr="00DC79DC" w:rsidRDefault="00D810A1" w:rsidP="00FA025C">
      <w:pPr>
        <w:pStyle w:val="Bulletbold"/>
        <w:rPr>
          <w:b w:val="0"/>
        </w:rPr>
      </w:pPr>
      <w:r w:rsidRPr="00DC79DC">
        <w:rPr>
          <w:b w:val="0"/>
        </w:rPr>
        <w:t>[TG-</w:t>
      </w:r>
      <w:r w:rsidR="00A81332" w:rsidRPr="00DC79DC">
        <w:rPr>
          <w:b w:val="0"/>
        </w:rPr>
        <w:t>M</w:t>
      </w:r>
      <w:r w:rsidRPr="00DC79DC">
        <w:rPr>
          <w:b w:val="0"/>
        </w:rPr>
        <w:t>] The work load of TG-</w:t>
      </w:r>
      <w:r w:rsidR="00A81332" w:rsidRPr="00DC79DC">
        <w:rPr>
          <w:b w:val="0"/>
        </w:rPr>
        <w:t xml:space="preserve">M </w:t>
      </w:r>
      <w:r w:rsidRPr="00DC79DC">
        <w:rPr>
          <w:b w:val="0"/>
        </w:rPr>
        <w:t>should be carefully limited to the essential</w:t>
      </w:r>
      <w:r w:rsidR="00DF30D8">
        <w:rPr>
          <w:b w:val="0"/>
        </w:rPr>
        <w:t>;</w:t>
      </w:r>
      <w:r w:rsidR="00DF30D8" w:rsidRPr="00DC79DC">
        <w:rPr>
          <w:b w:val="0"/>
        </w:rPr>
        <w:t xml:space="preserve"> </w:t>
      </w:r>
    </w:p>
    <w:p w14:paraId="701D4352" w14:textId="08F0880C" w:rsidR="00D810A1" w:rsidRPr="00DC79DC" w:rsidRDefault="00D810A1" w:rsidP="00FA025C">
      <w:pPr>
        <w:pStyle w:val="Bulletbold"/>
        <w:rPr>
          <w:b w:val="0"/>
        </w:rPr>
      </w:pPr>
      <w:r w:rsidRPr="00DC79DC">
        <w:rPr>
          <w:b w:val="0"/>
        </w:rPr>
        <w:t>[</w:t>
      </w:r>
      <w:r w:rsidR="00A81332">
        <w:rPr>
          <w:b w:val="0"/>
        </w:rPr>
        <w:t>E</w:t>
      </w:r>
      <w:r w:rsidR="00A81332" w:rsidRPr="00DC79DC">
        <w:rPr>
          <w:b w:val="0"/>
        </w:rPr>
        <w:t>G</w:t>
      </w:r>
      <w:r w:rsidRPr="00DC79DC">
        <w:rPr>
          <w:b w:val="0"/>
        </w:rPr>
        <w:t>-C] To provide a stronger link between the climate group and other groups</w:t>
      </w:r>
      <w:r w:rsidR="00C5066C">
        <w:rPr>
          <w:b w:val="0"/>
        </w:rPr>
        <w:t>;</w:t>
      </w:r>
      <w:r w:rsidRPr="00DC79DC">
        <w:rPr>
          <w:b w:val="0"/>
        </w:rPr>
        <w:t xml:space="preserve"> </w:t>
      </w:r>
    </w:p>
    <w:p w14:paraId="47D9D7CC" w14:textId="57A2C3FD" w:rsidR="00D810A1" w:rsidRDefault="00D810A1" w:rsidP="00FA025C">
      <w:pPr>
        <w:pStyle w:val="Bulletbold"/>
        <w:rPr>
          <w:b w:val="0"/>
        </w:rPr>
      </w:pPr>
      <w:r w:rsidRPr="00DC79DC">
        <w:rPr>
          <w:b w:val="0"/>
        </w:rPr>
        <w:t>[EG</w:t>
      </w:r>
      <w:r w:rsidR="00A81332">
        <w:rPr>
          <w:b w:val="0"/>
        </w:rPr>
        <w:t>-Seals</w:t>
      </w:r>
      <w:r w:rsidRPr="00DC79DC">
        <w:rPr>
          <w:b w:val="0"/>
        </w:rPr>
        <w:t>] A decision on harbour porpoises may be taken after a workshop planned for 2019</w:t>
      </w:r>
      <w:r w:rsidR="00C5066C">
        <w:rPr>
          <w:b w:val="0"/>
        </w:rPr>
        <w:t>;</w:t>
      </w:r>
    </w:p>
    <w:p w14:paraId="45057616" w14:textId="19AD0085" w:rsidR="003B4885" w:rsidRPr="0006057D" w:rsidRDefault="003B4885" w:rsidP="003B4885">
      <w:pPr>
        <w:pStyle w:val="Bulletbold"/>
      </w:pPr>
      <w:r w:rsidRPr="003B4885">
        <w:t>[</w:t>
      </w:r>
      <w:r w:rsidRPr="00442877">
        <w:rPr>
          <w:b w:val="0"/>
        </w:rPr>
        <w:t>ad</w:t>
      </w:r>
      <w:r w:rsidR="00CA774E">
        <w:rPr>
          <w:b w:val="0"/>
        </w:rPr>
        <w:t xml:space="preserve"> </w:t>
      </w:r>
      <w:r w:rsidRPr="008F550D">
        <w:rPr>
          <w:b w:val="0"/>
        </w:rPr>
        <w:t>hoc</w:t>
      </w:r>
      <w:r w:rsidRPr="005C7A9E">
        <w:rPr>
          <w:b w:val="0"/>
        </w:rPr>
        <w:t xml:space="preserve"> WG-AS]</w:t>
      </w:r>
      <w:r w:rsidR="002A0EF0" w:rsidRPr="005C7A9E">
        <w:rPr>
          <w:b w:val="0"/>
        </w:rPr>
        <w:t xml:space="preserve"> </w:t>
      </w:r>
      <w:r w:rsidRPr="008F550D">
        <w:rPr>
          <w:b w:val="0"/>
        </w:rPr>
        <w:t>After</w:t>
      </w:r>
      <w:r w:rsidRPr="003B4885">
        <w:rPr>
          <w:b w:val="0"/>
        </w:rPr>
        <w:t xml:space="preserve"> completing on-going tasks, the ad hoc WG-AS should be turned into an expert group</w:t>
      </w:r>
      <w:r w:rsidR="00C5066C">
        <w:rPr>
          <w:b w:val="0"/>
        </w:rPr>
        <w:t>;</w:t>
      </w:r>
    </w:p>
    <w:p w14:paraId="1CF9A88A" w14:textId="3D4C0E5C" w:rsidR="00024533" w:rsidRPr="006D4C5A" w:rsidRDefault="00024533" w:rsidP="003B4885">
      <w:pPr>
        <w:pStyle w:val="Bulletbold"/>
        <w:rPr>
          <w:b w:val="0"/>
        </w:rPr>
      </w:pPr>
      <w:r w:rsidRPr="006D4C5A">
        <w:rPr>
          <w:b w:val="0"/>
        </w:rPr>
        <w:t>[ad-hoc WG-S</w:t>
      </w:r>
      <w:r w:rsidR="00CF7D04" w:rsidRPr="006D4C5A">
        <w:rPr>
          <w:b w:val="0"/>
        </w:rPr>
        <w:t>wimway</w:t>
      </w:r>
      <w:r w:rsidRPr="006D4C5A">
        <w:rPr>
          <w:b w:val="0"/>
        </w:rPr>
        <w:t>] After completing ongoing tasks, the ad-hoc WG-S</w:t>
      </w:r>
      <w:r w:rsidR="00CF7D04" w:rsidRPr="006D4C5A">
        <w:rPr>
          <w:b w:val="0"/>
        </w:rPr>
        <w:t>wimway</w:t>
      </w:r>
      <w:r w:rsidR="007D3443" w:rsidRPr="006D4C5A">
        <w:rPr>
          <w:b w:val="0"/>
        </w:rPr>
        <w:t xml:space="preserve"> </w:t>
      </w:r>
      <w:r w:rsidRPr="006D4C5A">
        <w:rPr>
          <w:b w:val="0"/>
        </w:rPr>
        <w:t>should be turned into an expert group]</w:t>
      </w:r>
    </w:p>
    <w:p w14:paraId="456FE126" w14:textId="3B1E657D" w:rsidR="00D810A1" w:rsidRPr="00DC79DC" w:rsidRDefault="00D810A1" w:rsidP="003B4885">
      <w:pPr>
        <w:pStyle w:val="Bulletbold"/>
        <w:numPr>
          <w:ilvl w:val="0"/>
          <w:numId w:val="0"/>
        </w:numPr>
        <w:ind w:left="714"/>
        <w:rPr>
          <w:b w:val="0"/>
        </w:rPr>
      </w:pPr>
      <w:r w:rsidRPr="00DC79DC">
        <w:rPr>
          <w:b w:val="0"/>
        </w:rPr>
        <w:t>To provide further guidance by TG-</w:t>
      </w:r>
      <w:r w:rsidR="002A0EF0" w:rsidRPr="00DC79DC">
        <w:rPr>
          <w:b w:val="0"/>
        </w:rPr>
        <w:t>M</w:t>
      </w:r>
      <w:r w:rsidR="005C7A9E">
        <w:rPr>
          <w:b w:val="0"/>
        </w:rPr>
        <w:t xml:space="preserve"> and TG-M</w:t>
      </w:r>
      <w:r w:rsidR="006D4C5A">
        <w:rPr>
          <w:b w:val="0"/>
        </w:rPr>
        <w:t>A</w:t>
      </w:r>
      <w:r w:rsidR="002A0EF0" w:rsidRPr="00DC79DC">
        <w:rPr>
          <w:b w:val="0"/>
        </w:rPr>
        <w:t xml:space="preserve"> </w:t>
      </w:r>
      <w:r w:rsidRPr="00DC79DC">
        <w:rPr>
          <w:b w:val="0"/>
        </w:rPr>
        <w:t>to this group, while acknowledging that the alien species management aspects exceed the capacity of the</w:t>
      </w:r>
      <w:r w:rsidR="002C2ADC">
        <w:rPr>
          <w:b w:val="0"/>
        </w:rPr>
        <w:t xml:space="preserve"> </w:t>
      </w:r>
      <w:r w:rsidR="005C7A9E">
        <w:rPr>
          <w:b w:val="0"/>
        </w:rPr>
        <w:t>TG M</w:t>
      </w:r>
      <w:r w:rsidR="00C5066C">
        <w:rPr>
          <w:b w:val="0"/>
        </w:rPr>
        <w:t>;</w:t>
      </w:r>
    </w:p>
    <w:p w14:paraId="37CA26AC" w14:textId="1884E4E4" w:rsidR="00BE5FA0" w:rsidRDefault="00BE5FA0" w:rsidP="00BE5FA0">
      <w:pPr>
        <w:pStyle w:val="Bulletbold"/>
        <w:numPr>
          <w:ilvl w:val="0"/>
          <w:numId w:val="0"/>
        </w:numPr>
        <w:ind w:left="357"/>
      </w:pPr>
      <w:r>
        <w:br w:type="page"/>
      </w:r>
    </w:p>
    <w:p w14:paraId="760990B0" w14:textId="18283D1C" w:rsidR="009C7C48" w:rsidRPr="00C01264" w:rsidRDefault="009C7C48" w:rsidP="0072551F">
      <w:pPr>
        <w:pStyle w:val="Header1"/>
        <w:numPr>
          <w:ilvl w:val="0"/>
          <w:numId w:val="35"/>
        </w:numPr>
        <w:jc w:val="center"/>
      </w:pPr>
      <w:r w:rsidRPr="00C01264">
        <w:lastRenderedPageBreak/>
        <w:t>Task Group Management</w:t>
      </w:r>
      <w:r>
        <w:t xml:space="preserve"> (TG-M)</w:t>
      </w:r>
    </w:p>
    <w:p w14:paraId="6800A1E7" w14:textId="4535FCE6" w:rsidR="009C7C48" w:rsidRPr="00C01264" w:rsidRDefault="009C7C48" w:rsidP="009C7C48">
      <w:pPr>
        <w:pStyle w:val="Untertitel1"/>
        <w:jc w:val="center"/>
        <w:rPr>
          <w:b w:val="0"/>
          <w:color w:val="000000" w:themeColor="text1"/>
          <w:sz w:val="28"/>
        </w:rPr>
      </w:pPr>
      <w:r w:rsidRPr="00C01264">
        <w:rPr>
          <w:b w:val="0"/>
          <w:color w:val="000000" w:themeColor="text1"/>
          <w:sz w:val="28"/>
        </w:rPr>
        <w:t>Terms of Reference</w:t>
      </w:r>
    </w:p>
    <w:p w14:paraId="48C061DE" w14:textId="77777777" w:rsidR="009C7C48" w:rsidRDefault="009C7C48" w:rsidP="009C7C48">
      <w:pPr>
        <w:rPr>
          <w:rFonts w:ascii="Verdana" w:hAnsi="Verdana"/>
          <w:color w:val="000000" w:themeColor="text1"/>
          <w:sz w:val="20"/>
          <w:szCs w:val="20"/>
        </w:rPr>
      </w:pPr>
    </w:p>
    <w:p w14:paraId="16BDEAF2" w14:textId="0EEB1544" w:rsidR="00D50E14" w:rsidRDefault="00D50E14" w:rsidP="009C7C48">
      <w:pPr>
        <w:pStyle w:val="Untertitel1"/>
        <w:rPr>
          <w:rFonts w:ascii="Times New Roman" w:hAnsi="Times New Roman" w:cs="Times New Roman"/>
          <w:b w:val="0"/>
          <w:szCs w:val="22"/>
        </w:rPr>
      </w:pPr>
      <w:r>
        <w:rPr>
          <w:lang w:eastAsia="de-DE"/>
        </w:rPr>
        <w:t>Background</w:t>
      </w:r>
    </w:p>
    <w:p w14:paraId="177762FC" w14:textId="25827E77" w:rsidR="009C7C48" w:rsidRPr="00C01264" w:rsidRDefault="009C7C48" w:rsidP="009C7C48">
      <w:pPr>
        <w:pStyle w:val="Untertitel1"/>
        <w:rPr>
          <w:rFonts w:ascii="Times New Roman" w:hAnsi="Times New Roman" w:cs="Times New Roman"/>
          <w:b w:val="0"/>
          <w:szCs w:val="22"/>
        </w:rPr>
      </w:pPr>
      <w:r w:rsidRPr="00C01264">
        <w:rPr>
          <w:rFonts w:ascii="Times New Roman" w:hAnsi="Times New Roman" w:cs="Times New Roman"/>
          <w:b w:val="0"/>
          <w:szCs w:val="22"/>
        </w:rPr>
        <w:t>Nature conservation and integrated ecosystem management are central tasks of the Trilateral Cooperation. The Task Group Management (TG-M</w:t>
      </w:r>
      <w:r>
        <w:rPr>
          <w:rFonts w:ascii="Times New Roman" w:hAnsi="Times New Roman" w:cs="Times New Roman"/>
          <w:b w:val="0"/>
          <w:szCs w:val="22"/>
        </w:rPr>
        <w:t>)</w:t>
      </w:r>
      <w:r w:rsidRPr="00C01264">
        <w:rPr>
          <w:rFonts w:ascii="Times New Roman" w:hAnsi="Times New Roman" w:cs="Times New Roman"/>
          <w:b w:val="0"/>
          <w:szCs w:val="22"/>
        </w:rPr>
        <w:t xml:space="preserve"> is responsible for supervising the integrated implementation of the Leeuwarden Declaration</w:t>
      </w:r>
      <w:r w:rsidR="002A71CE">
        <w:rPr>
          <w:rFonts w:ascii="Times New Roman" w:hAnsi="Times New Roman" w:cs="Times New Roman"/>
          <w:b w:val="0"/>
          <w:szCs w:val="22"/>
        </w:rPr>
        <w:t xml:space="preserve"> (LD)</w:t>
      </w:r>
      <w:r w:rsidRPr="00C01264">
        <w:rPr>
          <w:rFonts w:ascii="Times New Roman" w:hAnsi="Times New Roman" w:cs="Times New Roman"/>
          <w:b w:val="0"/>
          <w:szCs w:val="22"/>
        </w:rPr>
        <w:t xml:space="preserve"> regarding all issues related to the conservation management of species and habitats.</w:t>
      </w:r>
      <w:r w:rsidR="009D7DBF">
        <w:rPr>
          <w:rFonts w:ascii="Times New Roman" w:hAnsi="Times New Roman" w:cs="Times New Roman"/>
          <w:b w:val="0"/>
          <w:szCs w:val="22"/>
        </w:rPr>
        <w:t xml:space="preserve"> TG-M report</w:t>
      </w:r>
      <w:r w:rsidR="00C02750">
        <w:rPr>
          <w:rFonts w:ascii="Times New Roman" w:hAnsi="Times New Roman" w:cs="Times New Roman"/>
          <w:b w:val="0"/>
          <w:szCs w:val="22"/>
        </w:rPr>
        <w:t>s</w:t>
      </w:r>
      <w:r w:rsidR="009D7DBF">
        <w:rPr>
          <w:rFonts w:ascii="Times New Roman" w:hAnsi="Times New Roman" w:cs="Times New Roman"/>
          <w:b w:val="0"/>
          <w:szCs w:val="22"/>
        </w:rPr>
        <w:t xml:space="preserve"> to</w:t>
      </w:r>
      <w:r w:rsidR="001D48E5">
        <w:rPr>
          <w:rFonts w:ascii="Times New Roman" w:hAnsi="Times New Roman" w:cs="Times New Roman"/>
          <w:b w:val="0"/>
          <w:szCs w:val="22"/>
        </w:rPr>
        <w:t xml:space="preserve"> the</w:t>
      </w:r>
      <w:r w:rsidR="009D7DBF">
        <w:rPr>
          <w:rFonts w:ascii="Times New Roman" w:hAnsi="Times New Roman" w:cs="Times New Roman"/>
          <w:b w:val="0"/>
          <w:szCs w:val="22"/>
        </w:rPr>
        <w:t xml:space="preserve"> WSB.</w:t>
      </w:r>
    </w:p>
    <w:p w14:paraId="5A1D0F26" w14:textId="77777777" w:rsidR="009C7C48" w:rsidRPr="00864934" w:rsidRDefault="009C7C48" w:rsidP="009C7C48">
      <w:pPr>
        <w:pStyle w:val="Header3"/>
      </w:pPr>
      <w:r w:rsidRPr="00864934">
        <w:t>Objective</w:t>
      </w:r>
    </w:p>
    <w:p w14:paraId="27DB0816" w14:textId="77777777" w:rsidR="009C7C48" w:rsidRPr="00C01264" w:rsidRDefault="009C7C48" w:rsidP="009C7C48">
      <w:pPr>
        <w:pStyle w:val="Textkrper1"/>
      </w:pPr>
      <w:r w:rsidRPr="00C01264">
        <w:t>Coordinated trilateral policies regarding integrated protection and conservation of the Wadden Sea ecosystem, incl. national obligations according to overarching legal EU frameworks and reporting.</w:t>
      </w:r>
    </w:p>
    <w:p w14:paraId="18D20152" w14:textId="77777777" w:rsidR="009C7C48" w:rsidRPr="00864934" w:rsidRDefault="009C7C48" w:rsidP="009C7C48">
      <w:pPr>
        <w:pStyle w:val="Header3"/>
        <w:spacing w:after="240"/>
      </w:pPr>
      <w:r w:rsidRPr="00864934">
        <w:t>Tasks</w:t>
      </w:r>
    </w:p>
    <w:p w14:paraId="4B896BA6" w14:textId="6639C782" w:rsidR="009C7C48" w:rsidRPr="00F97846" w:rsidRDefault="009C7C48" w:rsidP="0072551F">
      <w:pPr>
        <w:pStyle w:val="Listenabsatz"/>
        <w:numPr>
          <w:ilvl w:val="0"/>
          <w:numId w:val="3"/>
        </w:numPr>
        <w:spacing w:after="200"/>
      </w:pPr>
      <w:r w:rsidRPr="0051505A">
        <w:t>Coordinate and supervise the implementation of all issues from the LD related to Wadden Sea integrated ecosystem management and species and habitat protection</w:t>
      </w:r>
      <w:r w:rsidR="00271275">
        <w:t xml:space="preserve"> (e.g. wardening &amp; management, birds, marine mammals, alien species, fish &amp; fisheries).</w:t>
      </w:r>
    </w:p>
    <w:p w14:paraId="6FD8B093" w14:textId="7F2C53C5" w:rsidR="009C7C48" w:rsidRPr="00C01264" w:rsidRDefault="009C7C48" w:rsidP="0072551F">
      <w:pPr>
        <w:pStyle w:val="Listenabsatz"/>
        <w:numPr>
          <w:ilvl w:val="0"/>
          <w:numId w:val="3"/>
        </w:numPr>
        <w:spacing w:after="200"/>
      </w:pPr>
      <w:r w:rsidRPr="00C01264">
        <w:t>Coordinat</w:t>
      </w:r>
      <w:r w:rsidR="0068365D">
        <w:t>e</w:t>
      </w:r>
      <w:r w:rsidRPr="00C01264">
        <w:t xml:space="preserve"> and supervis</w:t>
      </w:r>
      <w:r w:rsidR="0068365D">
        <w:t>e</w:t>
      </w:r>
      <w:r w:rsidRPr="00C01264">
        <w:t xml:space="preserve"> the implementation of the Wadden Sea Plan</w:t>
      </w:r>
      <w:r w:rsidR="00C02750">
        <w:t xml:space="preserve"> (WSP)</w:t>
      </w:r>
      <w:r w:rsidRPr="00C01264">
        <w:t xml:space="preserve">, including relevant projects contained in the WSP. Support the elaboration of </w:t>
      </w:r>
      <w:r>
        <w:t xml:space="preserve">a single integrated management plan for </w:t>
      </w:r>
      <w:r w:rsidRPr="00C01264">
        <w:t xml:space="preserve">the </w:t>
      </w:r>
      <w:r>
        <w:t xml:space="preserve">entire </w:t>
      </w:r>
      <w:r w:rsidR="002A0EF0">
        <w:t xml:space="preserve">Wadden Sea </w:t>
      </w:r>
      <w:r w:rsidRPr="00C01264">
        <w:t>World Heritage</w:t>
      </w:r>
      <w:r>
        <w:t xml:space="preserve"> </w:t>
      </w:r>
      <w:r w:rsidR="00C02750">
        <w:t>site</w:t>
      </w:r>
      <w:r w:rsidR="0068365D">
        <w:t xml:space="preserve"> </w:t>
      </w:r>
      <w:r w:rsidRPr="00C01264">
        <w:t>(</w:t>
      </w:r>
      <w:r w:rsidR="002A0EF0">
        <w:t>u</w:t>
      </w:r>
      <w:r w:rsidR="002A0EF0" w:rsidRPr="00C01264">
        <w:t xml:space="preserve">nder </w:t>
      </w:r>
      <w:r w:rsidRPr="00C01264">
        <w:t>the lead of TG-WH)</w:t>
      </w:r>
      <w:r w:rsidR="0068365D">
        <w:t>;</w:t>
      </w:r>
    </w:p>
    <w:p w14:paraId="66FAF9DA" w14:textId="22237885" w:rsidR="009C7C48" w:rsidRPr="00C01264" w:rsidRDefault="009C7C48" w:rsidP="0072551F">
      <w:pPr>
        <w:pStyle w:val="Listenabsatz"/>
        <w:numPr>
          <w:ilvl w:val="0"/>
          <w:numId w:val="3"/>
        </w:numPr>
        <w:spacing w:after="200"/>
      </w:pPr>
      <w:r w:rsidRPr="00C01264">
        <w:t>Consider the relevance of overarching legal EU frameworks and reporting for trilateral issues</w:t>
      </w:r>
      <w:r w:rsidR="0068365D">
        <w:t>;</w:t>
      </w:r>
    </w:p>
    <w:p w14:paraId="4550032D" w14:textId="2E16BA16" w:rsidR="009C7C48" w:rsidRPr="00C01264" w:rsidRDefault="009C7C48" w:rsidP="0072551F">
      <w:pPr>
        <w:pStyle w:val="Listenabsatz"/>
        <w:numPr>
          <w:ilvl w:val="0"/>
          <w:numId w:val="3"/>
        </w:numPr>
        <w:spacing w:after="200"/>
      </w:pPr>
      <w:r w:rsidRPr="00C01264">
        <w:t>Implement and/or coordinate any other activities and projects assigned by WSB</w:t>
      </w:r>
      <w:r w:rsidR="0058632E">
        <w:t>.</w:t>
      </w:r>
    </w:p>
    <w:p w14:paraId="3FDD5E84" w14:textId="77777777" w:rsidR="009C7C48" w:rsidRPr="005B2D93" w:rsidRDefault="009C7C48" w:rsidP="009C7C48">
      <w:pPr>
        <w:pStyle w:val="Header3"/>
        <w:spacing w:after="240"/>
      </w:pPr>
      <w:r w:rsidRPr="005B2D93">
        <w:t>Deliverables</w:t>
      </w:r>
    </w:p>
    <w:p w14:paraId="2A7FB211" w14:textId="46E35293" w:rsidR="009C7C48" w:rsidRPr="00C01264" w:rsidRDefault="009C7C48" w:rsidP="0072551F">
      <w:pPr>
        <w:pStyle w:val="Listenabsatz"/>
        <w:numPr>
          <w:ilvl w:val="0"/>
          <w:numId w:val="33"/>
        </w:numPr>
        <w:spacing w:after="200"/>
      </w:pPr>
      <w:r w:rsidRPr="00C01264">
        <w:t>Regular reporting to WSB regarding the implementation of the above tasks</w:t>
      </w:r>
    </w:p>
    <w:p w14:paraId="7FDEEDEB" w14:textId="19E3AD0B" w:rsidR="009C7C48" w:rsidRPr="00C01264" w:rsidRDefault="009C7C48" w:rsidP="0072551F">
      <w:pPr>
        <w:pStyle w:val="Listenabsatz"/>
        <w:numPr>
          <w:ilvl w:val="0"/>
          <w:numId w:val="33"/>
        </w:numPr>
        <w:spacing w:after="200"/>
      </w:pPr>
      <w:r w:rsidRPr="00C01264">
        <w:t>Recommendations for amending and initiating trilateral integrated ecosystem policies to WSB</w:t>
      </w:r>
    </w:p>
    <w:p w14:paraId="265A55F8" w14:textId="2D50440B" w:rsidR="009C7C48" w:rsidRPr="0068365D" w:rsidRDefault="009C7C48" w:rsidP="0072551F">
      <w:pPr>
        <w:pStyle w:val="Listenabsatz"/>
        <w:numPr>
          <w:ilvl w:val="0"/>
          <w:numId w:val="33"/>
        </w:numPr>
        <w:rPr>
          <w:rFonts w:eastAsia="Calibri"/>
        </w:rPr>
      </w:pPr>
      <w:r w:rsidRPr="00C01264">
        <w:t xml:space="preserve">Substantial contribution to </w:t>
      </w:r>
      <w:r w:rsidR="00271275">
        <w:t>the single integrated m</w:t>
      </w:r>
      <w:r w:rsidRPr="00C01264">
        <w:t xml:space="preserve">anagement </w:t>
      </w:r>
      <w:r w:rsidR="00271275">
        <w:t>p</w:t>
      </w:r>
      <w:r w:rsidRPr="00C01264">
        <w:t>lan</w:t>
      </w:r>
    </w:p>
    <w:p w14:paraId="1CCB685F" w14:textId="7B4F19AF" w:rsidR="0068365D" w:rsidRDefault="0068365D" w:rsidP="0072551F">
      <w:pPr>
        <w:pStyle w:val="Listenabsatz"/>
        <w:numPr>
          <w:ilvl w:val="0"/>
          <w:numId w:val="33"/>
        </w:numPr>
        <w:rPr>
          <w:rFonts w:eastAsia="Calibri"/>
        </w:rPr>
      </w:pPr>
      <w:r w:rsidRPr="00063A89">
        <w:rPr>
          <w:rFonts w:eastAsia="Calibri"/>
        </w:rPr>
        <w:t xml:space="preserve">Project proposal for </w:t>
      </w:r>
      <w:r>
        <w:rPr>
          <w:rFonts w:eastAsia="Calibri"/>
        </w:rPr>
        <w:t>the next generation QSR</w:t>
      </w:r>
      <w:r w:rsidR="00271275">
        <w:rPr>
          <w:rFonts w:eastAsia="Calibri"/>
        </w:rPr>
        <w:t xml:space="preserve">, </w:t>
      </w:r>
      <w:r w:rsidR="00A7170F">
        <w:t xml:space="preserve">including </w:t>
      </w:r>
      <w:r w:rsidR="00D01901">
        <w:t>a</w:t>
      </w:r>
      <w:r w:rsidR="00A7170F">
        <w:t xml:space="preserve"> QSR synthesis report</w:t>
      </w:r>
      <w:r w:rsidR="00BB5933">
        <w:t>.</w:t>
      </w:r>
    </w:p>
    <w:p w14:paraId="4DC99F1C" w14:textId="65CA4BD0" w:rsidR="009C7C48" w:rsidRPr="005B2D93" w:rsidRDefault="009C7C48" w:rsidP="009C7C48">
      <w:pPr>
        <w:pStyle w:val="Header3"/>
        <w:spacing w:after="240"/>
      </w:pPr>
      <w:r w:rsidRPr="005B2D93">
        <w:t>Composition/Membership</w:t>
      </w:r>
    </w:p>
    <w:p w14:paraId="17916AF1" w14:textId="77777777" w:rsidR="0068365D" w:rsidRDefault="009C7C48" w:rsidP="0072551F">
      <w:pPr>
        <w:pStyle w:val="Untertitel1"/>
        <w:numPr>
          <w:ilvl w:val="0"/>
          <w:numId w:val="4"/>
        </w:numPr>
        <w:spacing w:after="0"/>
        <w:rPr>
          <w:rFonts w:ascii="Times New Roman" w:hAnsi="Times New Roman" w:cs="Times New Roman"/>
          <w:b w:val="0"/>
        </w:rPr>
      </w:pPr>
      <w:r w:rsidRPr="00C01264">
        <w:rPr>
          <w:rFonts w:ascii="Times New Roman" w:hAnsi="Times New Roman" w:cs="Times New Roman"/>
          <w:b w:val="0"/>
        </w:rPr>
        <w:t>Chairperson plus</w:t>
      </w:r>
    </w:p>
    <w:p w14:paraId="08FEFD83" w14:textId="623F256D" w:rsidR="009C7C48" w:rsidRPr="009D7DBF" w:rsidRDefault="009C7C48" w:rsidP="0072551F">
      <w:pPr>
        <w:pStyle w:val="Untertitel1"/>
        <w:numPr>
          <w:ilvl w:val="0"/>
          <w:numId w:val="4"/>
        </w:numPr>
        <w:spacing w:after="0"/>
        <w:rPr>
          <w:rFonts w:ascii="Times New Roman" w:hAnsi="Times New Roman" w:cs="Times New Roman"/>
          <w:b w:val="0"/>
        </w:rPr>
      </w:pPr>
      <w:r w:rsidRPr="009D7DBF">
        <w:rPr>
          <w:rFonts w:ascii="Times New Roman" w:hAnsi="Times New Roman" w:cs="Times New Roman"/>
          <w:b w:val="0"/>
        </w:rPr>
        <w:t>1-2 members per region</w:t>
      </w:r>
      <w:r w:rsidR="002B5130">
        <w:rPr>
          <w:rFonts w:ascii="Times New Roman" w:hAnsi="Times New Roman" w:cs="Times New Roman"/>
          <w:b w:val="0"/>
        </w:rPr>
        <w:t xml:space="preserve"> </w:t>
      </w:r>
      <w:r w:rsidR="002B5130" w:rsidRPr="002B5130">
        <w:rPr>
          <w:rFonts w:ascii="Times New Roman" w:hAnsi="Times New Roman" w:cs="Times New Roman"/>
          <w:b w:val="0"/>
        </w:rPr>
        <w:t xml:space="preserve">and/or state </w:t>
      </w:r>
      <w:r w:rsidRPr="009D7DBF">
        <w:rPr>
          <w:rFonts w:ascii="Times New Roman" w:hAnsi="Times New Roman" w:cs="Times New Roman"/>
          <w:b w:val="0"/>
        </w:rPr>
        <w:t xml:space="preserve"> (NL, </w:t>
      </w:r>
      <w:r w:rsidR="00BF041F">
        <w:rPr>
          <w:rFonts w:ascii="Times New Roman" w:hAnsi="Times New Roman" w:cs="Times New Roman"/>
          <w:b w:val="0"/>
        </w:rPr>
        <w:t>DE</w:t>
      </w:r>
      <w:r w:rsidRPr="009D7DBF">
        <w:rPr>
          <w:rFonts w:ascii="Times New Roman" w:hAnsi="Times New Roman" w:cs="Times New Roman"/>
          <w:b w:val="0"/>
        </w:rPr>
        <w:t>, LS, HH, SH, DK)</w:t>
      </w:r>
    </w:p>
    <w:p w14:paraId="44A7FDC0" w14:textId="77777777" w:rsidR="005B2D93" w:rsidRDefault="005B2D93" w:rsidP="005B2D93">
      <w:pPr>
        <w:pStyle w:val="Header3"/>
      </w:pPr>
      <w:r>
        <w:t>Time schedule</w:t>
      </w:r>
    </w:p>
    <w:p w14:paraId="7BBE7BA0" w14:textId="6754090E" w:rsidR="005B2D93" w:rsidRDefault="005B2D93" w:rsidP="005B2D93">
      <w:pPr>
        <w:pStyle w:val="Textkrper1"/>
      </w:pPr>
      <w:r>
        <w:t>2019-2022</w:t>
      </w:r>
    </w:p>
    <w:p w14:paraId="1DEC402B" w14:textId="0B66828C" w:rsidR="000F6304" w:rsidRDefault="000F6304" w:rsidP="005B2D93">
      <w:pPr>
        <w:pStyle w:val="Textkrper1"/>
      </w:pPr>
    </w:p>
    <w:p w14:paraId="76AAEEED" w14:textId="77777777" w:rsidR="000F6304" w:rsidRDefault="000F6304" w:rsidP="005B2D93">
      <w:pPr>
        <w:pStyle w:val="Textkrper1"/>
      </w:pPr>
    </w:p>
    <w:p w14:paraId="27B4BCE7" w14:textId="262B3B41" w:rsidR="009C7C48" w:rsidRDefault="00586336" w:rsidP="0072551F">
      <w:pPr>
        <w:pStyle w:val="berschrift1"/>
        <w:numPr>
          <w:ilvl w:val="0"/>
          <w:numId w:val="35"/>
        </w:numPr>
      </w:pPr>
      <w:r>
        <w:lastRenderedPageBreak/>
        <w:t>T</w:t>
      </w:r>
      <w:r w:rsidR="009C7C48">
        <w:t>ask Group Moni</w:t>
      </w:r>
      <w:r w:rsidR="00C5066C">
        <w:t>tor</w:t>
      </w:r>
      <w:r w:rsidR="009C7C48">
        <w:t>ing and Assessment (TG-</w:t>
      </w:r>
      <w:r w:rsidR="000963D7">
        <w:t>MA</w:t>
      </w:r>
      <w:r w:rsidR="009C7C48">
        <w:t>)</w:t>
      </w:r>
    </w:p>
    <w:p w14:paraId="5BBFB31F" w14:textId="56AE85B3" w:rsidR="009C7C48" w:rsidRDefault="009C7C48" w:rsidP="009C7C48">
      <w:pPr>
        <w:pStyle w:val="Header1centred"/>
      </w:pPr>
      <w:r>
        <w:t>Terms of Reference</w:t>
      </w:r>
    </w:p>
    <w:p w14:paraId="502DE252" w14:textId="77777777" w:rsidR="0068365D" w:rsidRDefault="0068365D" w:rsidP="00D50E14">
      <w:pPr>
        <w:pStyle w:val="KeinLeerraum"/>
        <w:ind w:left="0"/>
        <w:rPr>
          <w:rFonts w:ascii="Arial" w:hAnsi="Arial" w:cs="Arial"/>
          <w:b/>
          <w:lang w:eastAsia="de-DE"/>
        </w:rPr>
      </w:pPr>
    </w:p>
    <w:p w14:paraId="2999A678" w14:textId="49FED493" w:rsidR="009C7C48" w:rsidRPr="00D50E14" w:rsidRDefault="00D50E14" w:rsidP="00D50E14">
      <w:pPr>
        <w:pStyle w:val="KeinLeerraum"/>
        <w:ind w:left="0"/>
        <w:rPr>
          <w:rFonts w:ascii="Arial" w:hAnsi="Arial" w:cs="Arial"/>
          <w:b/>
        </w:rPr>
      </w:pPr>
      <w:r w:rsidRPr="00D50E14">
        <w:rPr>
          <w:rFonts w:ascii="Arial" w:hAnsi="Arial" w:cs="Arial"/>
          <w:b/>
          <w:lang w:eastAsia="de-DE"/>
        </w:rPr>
        <w:t>Background</w:t>
      </w:r>
    </w:p>
    <w:p w14:paraId="06941161" w14:textId="4CD2C5EE" w:rsidR="009C7C48" w:rsidRPr="009654EE" w:rsidRDefault="009C7C48" w:rsidP="009C7C48">
      <w:pPr>
        <w:pStyle w:val="Textkrper1"/>
      </w:pPr>
      <w:r>
        <w:t>Nature conservation and the</w:t>
      </w:r>
      <w:r w:rsidRPr="009654EE">
        <w:t xml:space="preserve"> Trilateral Monitoring and Assessment Programme (TMAP) </w:t>
      </w:r>
      <w:r>
        <w:t>are</w:t>
      </w:r>
      <w:r w:rsidRPr="009654EE">
        <w:t xml:space="preserve"> </w:t>
      </w:r>
      <w:r>
        <w:t>central tasks</w:t>
      </w:r>
      <w:r w:rsidRPr="009654EE">
        <w:t xml:space="preserve"> of the Trilateral Cooperation on the Protection of the Wadden Sea</w:t>
      </w:r>
      <w:r>
        <w:t xml:space="preserve">. </w:t>
      </w:r>
      <w:r w:rsidRPr="009654EE">
        <w:t xml:space="preserve">The Task Group Monitoring and Assessment is responsible for the integrated implementation of the </w:t>
      </w:r>
      <w:r w:rsidR="001D48E5" w:rsidRPr="001D48E5">
        <w:rPr>
          <w:rStyle w:val="Hyperlink"/>
          <w:color w:val="auto"/>
          <w:u w:val="none"/>
        </w:rPr>
        <w:t>TMAP strategy</w:t>
      </w:r>
      <w:r w:rsidRPr="001D48E5">
        <w:t xml:space="preserve"> and therefore </w:t>
      </w:r>
      <w:r>
        <w:t xml:space="preserve">the </w:t>
      </w:r>
      <w:r w:rsidR="00271275">
        <w:t xml:space="preserve">further </w:t>
      </w:r>
      <w:r w:rsidRPr="009654EE">
        <w:t xml:space="preserve">development of </w:t>
      </w:r>
      <w:r>
        <w:t>a harmonized</w:t>
      </w:r>
      <w:r w:rsidRPr="009654EE">
        <w:t xml:space="preserve"> programme and its alignment with the Wadden Sea Plan (WSP) </w:t>
      </w:r>
      <w:r w:rsidR="00271275">
        <w:t>safeguarding i.a.</w:t>
      </w:r>
      <w:r w:rsidR="00271275" w:rsidRPr="009654EE">
        <w:t xml:space="preserve"> </w:t>
      </w:r>
      <w:r w:rsidRPr="009654EE">
        <w:t>the Outstanding Universal Value</w:t>
      </w:r>
      <w:r w:rsidR="00C02750">
        <w:t xml:space="preserve"> (OUV)</w:t>
      </w:r>
      <w:r w:rsidR="00271275">
        <w:t xml:space="preserve"> and integrity of the World Heritage Site</w:t>
      </w:r>
      <w:r>
        <w:t>.</w:t>
      </w:r>
      <w:r w:rsidR="00B33F8F">
        <w:t xml:space="preserve"> </w:t>
      </w:r>
      <w:r w:rsidR="00271275">
        <w:t xml:space="preserve">One </w:t>
      </w:r>
      <w:r w:rsidR="00B33F8F">
        <w:t xml:space="preserve">focus will be </w:t>
      </w:r>
      <w:r w:rsidR="001D48E5">
        <w:t xml:space="preserve">on </w:t>
      </w:r>
      <w:r w:rsidR="00864934">
        <w:t>revitaliz</w:t>
      </w:r>
      <w:r w:rsidR="001D48E5">
        <w:t>ing</w:t>
      </w:r>
      <w:r w:rsidR="00864934">
        <w:t xml:space="preserve"> and further </w:t>
      </w:r>
      <w:r w:rsidR="002A0EF0">
        <w:t>develop</w:t>
      </w:r>
      <w:r w:rsidR="00864934">
        <w:t xml:space="preserve"> the trilateral data handling.</w:t>
      </w:r>
      <w:r w:rsidR="00B33F8F">
        <w:t xml:space="preserve"> </w:t>
      </w:r>
      <w:r w:rsidR="005B2D93" w:rsidRPr="005B2D93">
        <w:t>TG-M</w:t>
      </w:r>
      <w:r w:rsidR="006D4C5A">
        <w:t>A</w:t>
      </w:r>
      <w:r w:rsidR="005B2D93" w:rsidRPr="005B2D93">
        <w:t xml:space="preserve"> </w:t>
      </w:r>
      <w:r w:rsidR="00C02750">
        <w:t xml:space="preserve">reports to </w:t>
      </w:r>
      <w:r w:rsidR="001D48E5">
        <w:t xml:space="preserve">the </w:t>
      </w:r>
      <w:r w:rsidR="00C02750">
        <w:t>W</w:t>
      </w:r>
      <w:r w:rsidR="005B2D93" w:rsidRPr="005B2D93">
        <w:t>SB.</w:t>
      </w:r>
    </w:p>
    <w:p w14:paraId="796B6A29" w14:textId="77777777" w:rsidR="009C7C48" w:rsidRPr="005B2D93" w:rsidRDefault="009C7C48" w:rsidP="009C7C48">
      <w:pPr>
        <w:pStyle w:val="Header3"/>
      </w:pPr>
      <w:r w:rsidRPr="005B2D93">
        <w:t>Objective</w:t>
      </w:r>
    </w:p>
    <w:p w14:paraId="28D4A261" w14:textId="183251A8" w:rsidR="009C7C48" w:rsidRPr="009864B9" w:rsidRDefault="009C7C48" w:rsidP="009C7C48">
      <w:pPr>
        <w:spacing w:before="120"/>
      </w:pPr>
      <w:r w:rsidRPr="009654EE">
        <w:t>A sound trilateral monitoring and data handling with the aim of guaranteeing a sufficient basis for trilateral ecological assessment and reporting</w:t>
      </w:r>
      <w:r>
        <w:t>. A c</w:t>
      </w:r>
      <w:r w:rsidRPr="00B27A79">
        <w:t>oordi</w:t>
      </w:r>
      <w:r>
        <w:t xml:space="preserve">nated </w:t>
      </w:r>
      <w:r w:rsidRPr="00B27A79">
        <w:t xml:space="preserve">implementation of </w:t>
      </w:r>
      <w:r>
        <w:t>those</w:t>
      </w:r>
      <w:r w:rsidRPr="00B27A79">
        <w:t xml:space="preserve"> issues from the Leeuwarden Declaration</w:t>
      </w:r>
      <w:r w:rsidR="002A71CE">
        <w:t xml:space="preserve"> (LD)</w:t>
      </w:r>
      <w:r w:rsidRPr="00B27A79">
        <w:t xml:space="preserve"> </w:t>
      </w:r>
      <w:r>
        <w:t>with a primary relevance for TG-M</w:t>
      </w:r>
      <w:r w:rsidR="006D4C5A">
        <w:t>A</w:t>
      </w:r>
      <w:r w:rsidR="00E53322">
        <w:t xml:space="preserve"> in particular</w:t>
      </w:r>
      <w:r>
        <w:t>:</w:t>
      </w:r>
    </w:p>
    <w:p w14:paraId="006623E8" w14:textId="77777777" w:rsidR="009C7C48" w:rsidRDefault="009C7C48" w:rsidP="009C7C48">
      <w:pPr>
        <w:pStyle w:val="Textkrper1"/>
        <w:spacing w:before="0"/>
        <w:rPr>
          <w:i/>
        </w:rPr>
      </w:pPr>
    </w:p>
    <w:p w14:paraId="697C2564" w14:textId="25AAE8DD" w:rsidR="009C7C48" w:rsidRPr="009654EE" w:rsidRDefault="009C7C48" w:rsidP="009C7C48">
      <w:pPr>
        <w:pStyle w:val="Textkrper1"/>
        <w:spacing w:before="0"/>
        <w:rPr>
          <w:i/>
        </w:rPr>
      </w:pPr>
      <w:r w:rsidRPr="009654EE">
        <w:rPr>
          <w:i/>
        </w:rPr>
        <w:t xml:space="preserve">18. Instruct the Wadden Sea Board to oversee the further implementation of the Trilateral Monitoring and Assessment Programme Strategy; </w:t>
      </w:r>
    </w:p>
    <w:p w14:paraId="5AB34A50" w14:textId="28B430EA" w:rsidR="009C7C48" w:rsidRPr="009654EE" w:rsidRDefault="009C7C48" w:rsidP="009C7C48">
      <w:pPr>
        <w:pStyle w:val="Textkrper1"/>
        <w:spacing w:before="0" w:after="240"/>
        <w:rPr>
          <w:i/>
        </w:rPr>
      </w:pPr>
      <w:r w:rsidRPr="009654EE">
        <w:rPr>
          <w:i/>
        </w:rPr>
        <w:t>19. Agree to increase the value of the Trilateral Monitoring and Assessment Programme to users and to a wider range of stakeholders, including the availability of data and presentation of information resulting from those data;</w:t>
      </w:r>
    </w:p>
    <w:p w14:paraId="2B36D740" w14:textId="77777777" w:rsidR="009C7C48" w:rsidRPr="005B2D93" w:rsidRDefault="009C7C48" w:rsidP="009C7C48">
      <w:pPr>
        <w:pStyle w:val="Header3"/>
      </w:pPr>
      <w:r w:rsidRPr="005B2D93">
        <w:t>Tasks</w:t>
      </w:r>
    </w:p>
    <w:p w14:paraId="71EC7336" w14:textId="77777777" w:rsidR="009C7C48" w:rsidRPr="009C6F56" w:rsidRDefault="009C7C48" w:rsidP="009C7C48">
      <w:pPr>
        <w:pStyle w:val="Textkrper1"/>
        <w:spacing w:after="240"/>
      </w:pPr>
      <w:r w:rsidRPr="009654EE">
        <w:rPr>
          <w:szCs w:val="24"/>
        </w:rPr>
        <w:t xml:space="preserve">Coordinate and supervise the implementation of all issues from the Leeuwarden Declaration related to TMAP </w:t>
      </w:r>
      <w:r>
        <w:rPr>
          <w:szCs w:val="24"/>
        </w:rPr>
        <w:t>and</w:t>
      </w:r>
      <w:r w:rsidRPr="00AF2619">
        <w:rPr>
          <w:szCs w:val="24"/>
        </w:rPr>
        <w:t xml:space="preserve"> species and habitat protection</w:t>
      </w:r>
      <w:r w:rsidRPr="009654EE">
        <w:t xml:space="preserve"> in close cooperation with the respective </w:t>
      </w:r>
      <w:r w:rsidRPr="009C6F56">
        <w:t>Expert Groups and the Task Group Management</w:t>
      </w:r>
      <w:r>
        <w:t>. In particular:</w:t>
      </w:r>
    </w:p>
    <w:p w14:paraId="170CCAF7" w14:textId="65F0DB5A" w:rsidR="009C7C48" w:rsidRPr="009C6F56" w:rsidRDefault="009C7C48" w:rsidP="0072551F">
      <w:pPr>
        <w:pStyle w:val="Listenabsatz"/>
        <w:numPr>
          <w:ilvl w:val="0"/>
          <w:numId w:val="19"/>
        </w:numPr>
      </w:pPr>
      <w:r w:rsidRPr="009C6F56">
        <w:t>Supervise the further development of the trilateral data handling (with EG</w:t>
      </w:r>
      <w:r w:rsidR="006D4C5A">
        <w:t>-</w:t>
      </w:r>
      <w:r w:rsidRPr="009C6F56">
        <w:t>Data), also with regard to data availability, harmonization and presentation;</w:t>
      </w:r>
    </w:p>
    <w:p w14:paraId="60D33261" w14:textId="77777777" w:rsidR="009C7C48" w:rsidRPr="009C6F56" w:rsidRDefault="009C7C48" w:rsidP="0072551F">
      <w:pPr>
        <w:pStyle w:val="Listenabsatz"/>
        <w:numPr>
          <w:ilvl w:val="0"/>
          <w:numId w:val="19"/>
        </w:numPr>
        <w:spacing w:after="0" w:line="240" w:lineRule="auto"/>
        <w:rPr>
          <w:rFonts w:eastAsia="Times New Roman"/>
          <w:szCs w:val="24"/>
        </w:rPr>
      </w:pPr>
      <w:r w:rsidRPr="009C6F56">
        <w:rPr>
          <w:rFonts w:eastAsia="Times New Roman"/>
          <w:szCs w:val="24"/>
        </w:rPr>
        <w:t xml:space="preserve">Analyse </w:t>
      </w:r>
      <w:r w:rsidRPr="009C6F56">
        <w:t xml:space="preserve">the </w:t>
      </w:r>
      <w:r>
        <w:t>alignment of TMAP to the WSP and the OUV but also in relation to</w:t>
      </w:r>
      <w:r w:rsidRPr="009C6F56">
        <w:t xml:space="preserve"> overarching legal EU frameworks and reporting</w:t>
      </w:r>
      <w:r>
        <w:t>;</w:t>
      </w:r>
    </w:p>
    <w:p w14:paraId="2140AC79" w14:textId="5C456410" w:rsidR="009C7C48" w:rsidRPr="009C6F56" w:rsidRDefault="009C7C48" w:rsidP="0072551F">
      <w:pPr>
        <w:pStyle w:val="Listenabsatz"/>
        <w:numPr>
          <w:ilvl w:val="0"/>
          <w:numId w:val="19"/>
        </w:numPr>
      </w:pPr>
      <w:r w:rsidRPr="009C6F56">
        <w:rPr>
          <w:rFonts w:eastAsia="Times New Roman"/>
          <w:szCs w:val="24"/>
        </w:rPr>
        <w:t>Define, harmonise and establish monitoring parameters where necessary</w:t>
      </w:r>
      <w:r>
        <w:rPr>
          <w:rFonts w:eastAsia="Times New Roman"/>
          <w:szCs w:val="24"/>
        </w:rPr>
        <w:t>;</w:t>
      </w:r>
      <w:r w:rsidRPr="009C6F56">
        <w:t xml:space="preserve"> </w:t>
      </w:r>
    </w:p>
    <w:p w14:paraId="492573C0" w14:textId="6D1C91B3" w:rsidR="009C7C48" w:rsidRPr="009C6F56" w:rsidRDefault="009C7C48" w:rsidP="0072551F">
      <w:pPr>
        <w:pStyle w:val="Listenabsatz"/>
        <w:numPr>
          <w:ilvl w:val="0"/>
          <w:numId w:val="19"/>
        </w:numPr>
      </w:pPr>
      <w:r w:rsidRPr="009C6F56">
        <w:t>Update the TMAP Handbook as the guideline for monitoring, research and management;</w:t>
      </w:r>
    </w:p>
    <w:p w14:paraId="3CD665C4" w14:textId="06C03E45" w:rsidR="009C7C48" w:rsidRPr="009C6F56" w:rsidRDefault="009C7C48" w:rsidP="0072551F">
      <w:pPr>
        <w:pStyle w:val="Listenabsatz"/>
        <w:numPr>
          <w:ilvl w:val="0"/>
          <w:numId w:val="19"/>
        </w:numPr>
      </w:pPr>
      <w:r>
        <w:t>Coordinate</w:t>
      </w:r>
      <w:r w:rsidRPr="009C6F56">
        <w:t xml:space="preserve"> on issues from the LD relevan</w:t>
      </w:r>
      <w:r>
        <w:t>t</w:t>
      </w:r>
      <w:r w:rsidRPr="009C6F56">
        <w:t xml:space="preserve"> to</w:t>
      </w:r>
      <w:r>
        <w:t xml:space="preserve"> habitats and species</w:t>
      </w:r>
      <w:r w:rsidR="0020372A">
        <w:t xml:space="preserve"> </w:t>
      </w:r>
      <w:r w:rsidR="00ED35E0">
        <w:t>monitor</w:t>
      </w:r>
      <w:r w:rsidR="0020372A">
        <w:t>ing and assessment</w:t>
      </w:r>
      <w:r>
        <w:t xml:space="preserve">; </w:t>
      </w:r>
    </w:p>
    <w:p w14:paraId="080AE1F4" w14:textId="77777777" w:rsidR="009C7C48" w:rsidRPr="009C6F56" w:rsidRDefault="009C7C48" w:rsidP="0072551F">
      <w:pPr>
        <w:pStyle w:val="Listenabsatz"/>
        <w:numPr>
          <w:ilvl w:val="0"/>
          <w:numId w:val="19"/>
        </w:numPr>
        <w:rPr>
          <w:rFonts w:eastAsia="Times New Roman"/>
          <w:szCs w:val="24"/>
        </w:rPr>
      </w:pPr>
      <w:r w:rsidRPr="009C6F56">
        <w:t xml:space="preserve">Analyse potential target groups for the QSR Thematic and Synthesis Reports and provide analogous recommendations for the </w:t>
      </w:r>
      <w:r>
        <w:t>overall</w:t>
      </w:r>
      <w:r w:rsidRPr="009C6F56">
        <w:t xml:space="preserve"> process;</w:t>
      </w:r>
    </w:p>
    <w:p w14:paraId="248B07A3" w14:textId="0A3B8098" w:rsidR="009C7C48" w:rsidRPr="009C6F56" w:rsidRDefault="009C7C48" w:rsidP="0072551F">
      <w:pPr>
        <w:pStyle w:val="Listenabsatz"/>
        <w:numPr>
          <w:ilvl w:val="0"/>
          <w:numId w:val="19"/>
        </w:numPr>
        <w:spacing w:after="0" w:line="240" w:lineRule="auto"/>
        <w:rPr>
          <w:rFonts w:eastAsia="Times New Roman"/>
          <w:szCs w:val="24"/>
        </w:rPr>
      </w:pPr>
      <w:r w:rsidRPr="009C6F56">
        <w:t xml:space="preserve">Support </w:t>
      </w:r>
      <w:r w:rsidR="00846BED">
        <w:t xml:space="preserve">and </w:t>
      </w:r>
      <w:r>
        <w:t>supervise</w:t>
      </w:r>
      <w:r w:rsidRPr="009C6F56">
        <w:t xml:space="preserve"> </w:t>
      </w:r>
      <w:r>
        <w:t xml:space="preserve">the </w:t>
      </w:r>
      <w:r w:rsidRPr="009C6F56">
        <w:t>next</w:t>
      </w:r>
      <w:r>
        <w:t xml:space="preserve"> generation</w:t>
      </w:r>
      <w:r w:rsidRPr="009C6F56">
        <w:t xml:space="preserve"> Quality Status Report </w:t>
      </w:r>
      <w:r>
        <w:t>process</w:t>
      </w:r>
      <w:r w:rsidR="00D01901">
        <w:t>, including a QSR synthesis report</w:t>
      </w:r>
      <w:r>
        <w:t xml:space="preserve"> </w:t>
      </w:r>
      <w:r w:rsidRPr="009C6F56">
        <w:t xml:space="preserve">(publishing period to be defined); </w:t>
      </w:r>
    </w:p>
    <w:p w14:paraId="04B0C253" w14:textId="38EDB00A" w:rsidR="009C7C48" w:rsidRPr="009C6F56" w:rsidRDefault="009C7C48" w:rsidP="0072551F">
      <w:pPr>
        <w:pStyle w:val="Listenabsatz"/>
        <w:numPr>
          <w:ilvl w:val="0"/>
          <w:numId w:val="19"/>
        </w:numPr>
        <w:spacing w:after="0" w:line="240" w:lineRule="auto"/>
        <w:contextualSpacing w:val="0"/>
      </w:pPr>
      <w:r w:rsidRPr="009654EE">
        <w:t xml:space="preserve">Support on the </w:t>
      </w:r>
      <w:r>
        <w:t>s</w:t>
      </w:r>
      <w:r w:rsidRPr="009654EE">
        <w:t xml:space="preserve">ingle </w:t>
      </w:r>
      <w:r>
        <w:t>i</w:t>
      </w:r>
      <w:r w:rsidRPr="009654EE">
        <w:t xml:space="preserve">ntegrated </w:t>
      </w:r>
      <w:r>
        <w:t>m</w:t>
      </w:r>
      <w:r w:rsidRPr="009654EE">
        <w:t xml:space="preserve">anagement </w:t>
      </w:r>
      <w:r>
        <w:t>p</w:t>
      </w:r>
      <w:r w:rsidRPr="009654EE">
        <w:t>lan</w:t>
      </w:r>
      <w:r w:rsidR="00D64B1C">
        <w:t xml:space="preserve"> for the </w:t>
      </w:r>
      <w:r w:rsidR="002A0EF0">
        <w:t xml:space="preserve">entire </w:t>
      </w:r>
      <w:r w:rsidR="00D64B1C">
        <w:t xml:space="preserve">UNESCO Wadden Sea World </w:t>
      </w:r>
      <w:r w:rsidR="002A0EF0">
        <w:t>H</w:t>
      </w:r>
      <w:r w:rsidR="00D64B1C">
        <w:t>eritage</w:t>
      </w:r>
      <w:r w:rsidR="00C02750">
        <w:t xml:space="preserve"> site</w:t>
      </w:r>
      <w:r w:rsidR="0058632E">
        <w:t>.</w:t>
      </w:r>
    </w:p>
    <w:p w14:paraId="22C2C4D8" w14:textId="77777777" w:rsidR="0068365D" w:rsidRDefault="0068365D" w:rsidP="009C7C48">
      <w:pPr>
        <w:pStyle w:val="Header3"/>
        <w:spacing w:after="240"/>
      </w:pPr>
    </w:p>
    <w:p w14:paraId="186CF2D4" w14:textId="250661AC" w:rsidR="009C7C48" w:rsidRPr="005B2D93" w:rsidRDefault="009C7C48" w:rsidP="009C7C48">
      <w:pPr>
        <w:pStyle w:val="Header3"/>
        <w:spacing w:after="240"/>
      </w:pPr>
      <w:r w:rsidRPr="005B2D93">
        <w:lastRenderedPageBreak/>
        <w:t>Deliverables</w:t>
      </w:r>
    </w:p>
    <w:p w14:paraId="26AC7B4B" w14:textId="225F8A7B" w:rsidR="009C7C48" w:rsidRPr="009654EE" w:rsidRDefault="009C7C48" w:rsidP="0072551F">
      <w:pPr>
        <w:pStyle w:val="Listenabsatz"/>
        <w:numPr>
          <w:ilvl w:val="0"/>
          <w:numId w:val="20"/>
        </w:numPr>
        <w:rPr>
          <w:lang w:val="en-US"/>
        </w:rPr>
      </w:pPr>
      <w:r w:rsidRPr="009654EE">
        <w:rPr>
          <w:rFonts w:eastAsia="Times New Roman"/>
          <w:szCs w:val="24"/>
        </w:rPr>
        <w:t>Regular reporting to WSB regarding the implementation of the above tasks</w:t>
      </w:r>
      <w:r w:rsidR="006D78B8">
        <w:rPr>
          <w:rFonts w:eastAsia="Times New Roman"/>
          <w:szCs w:val="24"/>
        </w:rPr>
        <w:t>;</w:t>
      </w:r>
    </w:p>
    <w:p w14:paraId="4202C2A3" w14:textId="3BEA3843" w:rsidR="009C7C48" w:rsidRPr="009654EE" w:rsidRDefault="00BF041F" w:rsidP="0072551F">
      <w:pPr>
        <w:pStyle w:val="Listenabsatz"/>
        <w:numPr>
          <w:ilvl w:val="0"/>
          <w:numId w:val="20"/>
        </w:numPr>
        <w:rPr>
          <w:lang w:val="en-US"/>
        </w:rPr>
      </w:pPr>
      <w:r>
        <w:rPr>
          <w:lang w:eastAsia="de-DE"/>
        </w:rPr>
        <w:t>W</w:t>
      </w:r>
      <w:r w:rsidRPr="00AA6371">
        <w:rPr>
          <w:lang w:eastAsia="de-DE"/>
        </w:rPr>
        <w:t>ork program</w:t>
      </w:r>
      <w:r>
        <w:rPr>
          <w:lang w:eastAsia="de-DE"/>
        </w:rPr>
        <w:t>me</w:t>
      </w:r>
      <w:r w:rsidRPr="00AA6371">
        <w:rPr>
          <w:lang w:eastAsia="de-DE"/>
        </w:rPr>
        <w:t xml:space="preserve"> </w:t>
      </w:r>
      <w:r w:rsidR="009C7C48" w:rsidRPr="009654EE">
        <w:rPr>
          <w:lang w:val="en-US"/>
        </w:rPr>
        <w:t>for 2019-22 with a detailed version for</w:t>
      </w:r>
      <w:r w:rsidR="009C7C48">
        <w:rPr>
          <w:lang w:val="en-US"/>
        </w:rPr>
        <w:t xml:space="preserve"> the respective year to come</w:t>
      </w:r>
      <w:r w:rsidR="006D78B8">
        <w:rPr>
          <w:lang w:val="en-US"/>
        </w:rPr>
        <w:t>;</w:t>
      </w:r>
    </w:p>
    <w:p w14:paraId="7EF1D19C" w14:textId="56662F07" w:rsidR="009C7C48" w:rsidRPr="009654EE" w:rsidRDefault="009C7C48" w:rsidP="0072551F">
      <w:pPr>
        <w:pStyle w:val="Listenabsatz"/>
        <w:numPr>
          <w:ilvl w:val="0"/>
          <w:numId w:val="20"/>
        </w:numPr>
        <w:rPr>
          <w:lang w:val="en-US"/>
        </w:rPr>
      </w:pPr>
      <w:r w:rsidRPr="009654EE">
        <w:rPr>
          <w:lang w:val="en-US"/>
        </w:rPr>
        <w:t xml:space="preserve">Proposal for </w:t>
      </w:r>
      <w:r w:rsidR="00C5066C">
        <w:rPr>
          <w:lang w:val="en-US"/>
        </w:rPr>
        <w:t>TOR</w:t>
      </w:r>
      <w:r w:rsidRPr="009654EE">
        <w:rPr>
          <w:lang w:val="en-US"/>
        </w:rPr>
        <w:t xml:space="preserve"> </w:t>
      </w:r>
      <w:r w:rsidR="006D78B8">
        <w:rPr>
          <w:lang w:val="en-US"/>
        </w:rPr>
        <w:t xml:space="preserve">of </w:t>
      </w:r>
      <w:r w:rsidR="000963D7">
        <w:rPr>
          <w:lang w:val="en-US"/>
        </w:rPr>
        <w:t>EG</w:t>
      </w:r>
      <w:r w:rsidR="006D4C5A">
        <w:rPr>
          <w:lang w:val="en-US"/>
        </w:rPr>
        <w:t>-</w:t>
      </w:r>
      <w:r w:rsidR="006D78B8">
        <w:rPr>
          <w:lang w:val="en-US"/>
        </w:rPr>
        <w:t>Data;</w:t>
      </w:r>
    </w:p>
    <w:p w14:paraId="1E034B2E" w14:textId="67525EAB" w:rsidR="009C7C48" w:rsidRPr="009654EE" w:rsidRDefault="009C7C48" w:rsidP="0072551F">
      <w:pPr>
        <w:pStyle w:val="Listenabsatz"/>
        <w:numPr>
          <w:ilvl w:val="0"/>
          <w:numId w:val="20"/>
        </w:numPr>
        <w:spacing w:after="0"/>
        <w:contextualSpacing w:val="0"/>
      </w:pPr>
      <w:r>
        <w:t>Updated trilateral data handling s</w:t>
      </w:r>
      <w:r w:rsidRPr="009654EE">
        <w:t>trategy</w:t>
      </w:r>
      <w:r>
        <w:t xml:space="preserve"> in cooperation with </w:t>
      </w:r>
      <w:r w:rsidR="000963D7">
        <w:t>E</w:t>
      </w:r>
      <w:r w:rsidR="006D78B8">
        <w:t>G</w:t>
      </w:r>
      <w:r w:rsidR="006D4C5A">
        <w:t>-</w:t>
      </w:r>
      <w:r>
        <w:t>Data</w:t>
      </w:r>
      <w:r w:rsidR="006D78B8">
        <w:t>;</w:t>
      </w:r>
    </w:p>
    <w:p w14:paraId="7F67E0C6" w14:textId="1539C8B8" w:rsidR="009C7C48" w:rsidRPr="009654EE" w:rsidRDefault="009C7C48" w:rsidP="0072551F">
      <w:pPr>
        <w:pStyle w:val="Listenabsatz"/>
        <w:numPr>
          <w:ilvl w:val="0"/>
          <w:numId w:val="20"/>
        </w:numPr>
        <w:spacing w:after="0"/>
        <w:contextualSpacing w:val="0"/>
      </w:pPr>
      <w:r w:rsidRPr="009654EE">
        <w:t xml:space="preserve">TMAP inventory and subsequent </w:t>
      </w:r>
      <w:r>
        <w:t xml:space="preserve">status </w:t>
      </w:r>
      <w:r w:rsidRPr="009654EE">
        <w:t>analysis</w:t>
      </w:r>
      <w:r w:rsidR="006D78B8">
        <w:t>;</w:t>
      </w:r>
    </w:p>
    <w:p w14:paraId="4F270D8E" w14:textId="64D5E9D2" w:rsidR="009C7C48" w:rsidRPr="009654EE" w:rsidRDefault="009C7C48" w:rsidP="0072551F">
      <w:pPr>
        <w:pStyle w:val="Listenabsatz"/>
        <w:numPr>
          <w:ilvl w:val="0"/>
          <w:numId w:val="20"/>
        </w:numPr>
        <w:spacing w:after="0"/>
        <w:contextualSpacing w:val="0"/>
      </w:pPr>
      <w:r w:rsidRPr="009654EE">
        <w:t>Updated and elaborated TMAP Handbook</w:t>
      </w:r>
      <w:r w:rsidR="006D78B8">
        <w:t>;</w:t>
      </w:r>
      <w:r w:rsidRPr="009654EE">
        <w:t xml:space="preserve"> </w:t>
      </w:r>
    </w:p>
    <w:p w14:paraId="283FE3B8" w14:textId="7D781938" w:rsidR="009C7C48" w:rsidRDefault="009C7C48" w:rsidP="0072551F">
      <w:pPr>
        <w:pStyle w:val="Listenabsatz"/>
        <w:numPr>
          <w:ilvl w:val="0"/>
          <w:numId w:val="20"/>
        </w:numPr>
        <w:spacing w:after="0"/>
        <w:contextualSpacing w:val="0"/>
      </w:pPr>
      <w:r w:rsidRPr="009654EE">
        <w:t>Analysis of target groups for the next</w:t>
      </w:r>
      <w:r>
        <w:t xml:space="preserve"> generation</w:t>
      </w:r>
      <w:r w:rsidRPr="009654EE">
        <w:t xml:space="preserve"> QSR</w:t>
      </w:r>
      <w:r w:rsidR="006D78B8">
        <w:t>;</w:t>
      </w:r>
    </w:p>
    <w:p w14:paraId="360FC93C" w14:textId="1B6F4360" w:rsidR="009C7C48" w:rsidRPr="009654EE" w:rsidRDefault="009C7C48" w:rsidP="0072551F">
      <w:pPr>
        <w:pStyle w:val="Listenabsatz"/>
        <w:numPr>
          <w:ilvl w:val="0"/>
          <w:numId w:val="20"/>
        </w:numPr>
        <w:spacing w:after="0"/>
        <w:contextualSpacing w:val="0"/>
      </w:pPr>
      <w:bookmarkStart w:id="2" w:name="_Hlk532311777"/>
      <w:r>
        <w:t>Proposal for the overall presentation and access options of TMAP products and the next generation QSR</w:t>
      </w:r>
      <w:r w:rsidR="006D78B8">
        <w:t>.</w:t>
      </w:r>
    </w:p>
    <w:bookmarkEnd w:id="2"/>
    <w:p w14:paraId="16A7CFE7" w14:textId="77777777" w:rsidR="009C7C48" w:rsidRPr="00D50E14" w:rsidRDefault="009C7C48" w:rsidP="009C7C48">
      <w:pPr>
        <w:pStyle w:val="Header3"/>
        <w:spacing w:after="240"/>
      </w:pPr>
      <w:r w:rsidRPr="00D50E14">
        <w:t>Composition/Membership</w:t>
      </w:r>
    </w:p>
    <w:p w14:paraId="3EDF80DF" w14:textId="77777777" w:rsidR="009C7C48" w:rsidRPr="009654EE" w:rsidRDefault="009C7C48" w:rsidP="0072551F">
      <w:pPr>
        <w:pStyle w:val="Textkrper1"/>
        <w:numPr>
          <w:ilvl w:val="0"/>
          <w:numId w:val="24"/>
        </w:numPr>
      </w:pPr>
      <w:r w:rsidRPr="009654EE">
        <w:t>Chairperson plus</w:t>
      </w:r>
    </w:p>
    <w:p w14:paraId="1F5FCE72" w14:textId="6754ECE0" w:rsidR="009C7C48" w:rsidRDefault="009C7C48" w:rsidP="0072551F">
      <w:pPr>
        <w:pStyle w:val="Listenabsatz"/>
        <w:numPr>
          <w:ilvl w:val="0"/>
          <w:numId w:val="24"/>
        </w:numPr>
      </w:pPr>
      <w:r w:rsidRPr="009654EE">
        <w:t>1-2 members (experts with mandates) per region</w:t>
      </w:r>
      <w:r w:rsidR="002B5130">
        <w:t xml:space="preserve"> </w:t>
      </w:r>
      <w:r w:rsidR="002B5130" w:rsidRPr="002B5130">
        <w:t xml:space="preserve">and/or state </w:t>
      </w:r>
      <w:r w:rsidRPr="009654EE">
        <w:t xml:space="preserve">(NL, </w:t>
      </w:r>
      <w:r w:rsidR="00BF041F">
        <w:t>DE</w:t>
      </w:r>
      <w:r w:rsidRPr="009864B9">
        <w:t>, LS, HH, S</w:t>
      </w:r>
      <w:r>
        <w:t>H, DK).</w:t>
      </w:r>
    </w:p>
    <w:p w14:paraId="2E7289FB" w14:textId="77777777" w:rsidR="005B2D93" w:rsidRDefault="005B2D93" w:rsidP="005B2D93">
      <w:pPr>
        <w:pStyle w:val="Header3"/>
      </w:pPr>
      <w:r>
        <w:t>Time schedule</w:t>
      </w:r>
    </w:p>
    <w:p w14:paraId="7B243C2B" w14:textId="498C7DB2" w:rsidR="005B2D93" w:rsidRDefault="005B2D93" w:rsidP="005B2D93">
      <w:pPr>
        <w:pStyle w:val="Textkrper1"/>
      </w:pPr>
      <w:r>
        <w:t>2019-2022</w:t>
      </w:r>
    </w:p>
    <w:p w14:paraId="397FA050" w14:textId="3CDDE3B1" w:rsidR="009518A9" w:rsidRDefault="009518A9">
      <w:r>
        <w:br w:type="page"/>
      </w:r>
    </w:p>
    <w:p w14:paraId="48D16971" w14:textId="00E5F766" w:rsidR="002271E4" w:rsidRPr="00925D64" w:rsidRDefault="002271E4" w:rsidP="00406951">
      <w:pPr>
        <w:pStyle w:val="berschrift1"/>
        <w:numPr>
          <w:ilvl w:val="0"/>
          <w:numId w:val="35"/>
        </w:numPr>
      </w:pPr>
      <w:r>
        <w:lastRenderedPageBreak/>
        <w:t>Task Group World Heritage (TG-WH)</w:t>
      </w:r>
    </w:p>
    <w:p w14:paraId="24C701F9" w14:textId="77777777" w:rsidR="002271E4" w:rsidRDefault="002271E4" w:rsidP="002271E4">
      <w:pPr>
        <w:pStyle w:val="Header1centred"/>
      </w:pPr>
      <w:r>
        <w:t>Terms of Reference</w:t>
      </w:r>
    </w:p>
    <w:p w14:paraId="01A372D8" w14:textId="77777777" w:rsidR="002271E4" w:rsidRDefault="002271E4" w:rsidP="002271E4">
      <w:pPr>
        <w:pStyle w:val="Textkrper1"/>
      </w:pPr>
    </w:p>
    <w:p w14:paraId="76798396" w14:textId="77777777" w:rsidR="002271E4" w:rsidRPr="00D64B1C" w:rsidRDefault="002271E4" w:rsidP="002271E4">
      <w:pPr>
        <w:pStyle w:val="Textkrper1"/>
        <w:jc w:val="both"/>
        <w:rPr>
          <w:rFonts w:ascii="Arial" w:hAnsi="Arial" w:cs="Arial"/>
          <w:b/>
        </w:rPr>
      </w:pPr>
      <w:r w:rsidRPr="00D64B1C">
        <w:rPr>
          <w:rFonts w:ascii="Arial" w:hAnsi="Arial" w:cs="Arial"/>
          <w:b/>
          <w:lang w:eastAsia="de-DE"/>
        </w:rPr>
        <w:t>Background</w:t>
      </w:r>
    </w:p>
    <w:p w14:paraId="2EB9F766" w14:textId="77777777" w:rsidR="002271E4" w:rsidRDefault="002271E4" w:rsidP="002271E4">
      <w:pPr>
        <w:pStyle w:val="Textkrper1"/>
      </w:pPr>
      <w:r>
        <w:t>Assuming the shared responsibility as site holder of the UNESCO Wadden Sea World Heritage as a central work theme for the Cooperation in the coming period. The WH Strategy for the property according to para. 5 of the Tønder Declaration (TD) and article 9 of the Leeuwarden Declaration (LD) will be the central instrument for implementing objectives and activities of the Cooperation and will involve also non-governmental strategic partners. The group reports to Wadden Sea Board (WSB).</w:t>
      </w:r>
    </w:p>
    <w:p w14:paraId="2F54C445" w14:textId="77777777" w:rsidR="002271E4" w:rsidRDefault="002271E4" w:rsidP="002271E4">
      <w:pPr>
        <w:pStyle w:val="Header3"/>
      </w:pPr>
      <w:r>
        <w:t>Objective</w:t>
      </w:r>
    </w:p>
    <w:p w14:paraId="61FA5817" w14:textId="77777777" w:rsidR="002271E4" w:rsidRDefault="002271E4" w:rsidP="002271E4">
      <w:pPr>
        <w:pStyle w:val="Textkrper1"/>
      </w:pPr>
      <w:r>
        <w:t>Coordinate and oversee the implementation of the Wadden Sea World Heritage Strategy to warrant the realization of its vision and objectives.</w:t>
      </w:r>
    </w:p>
    <w:p w14:paraId="5C126011" w14:textId="77777777" w:rsidR="002271E4" w:rsidRDefault="002271E4" w:rsidP="002271E4">
      <w:pPr>
        <w:pStyle w:val="Header3"/>
      </w:pPr>
      <w:r>
        <w:t>Tasks</w:t>
      </w:r>
    </w:p>
    <w:p w14:paraId="47FC53BA" w14:textId="1CB04A48" w:rsidR="002271E4" w:rsidRDefault="002271E4" w:rsidP="002271E4">
      <w:pPr>
        <w:pStyle w:val="Numbering"/>
        <w:numPr>
          <w:ilvl w:val="0"/>
          <w:numId w:val="5"/>
        </w:numPr>
      </w:pPr>
      <w:r>
        <w:t xml:space="preserve">Oversee the </w:t>
      </w:r>
      <w:r w:rsidR="00406951">
        <w:t>fulfilment</w:t>
      </w:r>
      <w:r>
        <w:t xml:space="preserve"> of all obligations deriving from the World Heritage Convention, e.g. coordination of reports;</w:t>
      </w:r>
    </w:p>
    <w:p w14:paraId="3624E176" w14:textId="77777777" w:rsidR="002271E4" w:rsidRDefault="002271E4" w:rsidP="002271E4">
      <w:pPr>
        <w:pStyle w:val="Numbering"/>
      </w:pPr>
      <w:r>
        <w:t>Prepare the single integrated management plan for entire the UNESCO Wadden Sea World Heritage site;</w:t>
      </w:r>
    </w:p>
    <w:p w14:paraId="3FEA2C02" w14:textId="77777777" w:rsidR="002271E4" w:rsidRDefault="002271E4" w:rsidP="002271E4">
      <w:pPr>
        <w:pStyle w:val="Numbering"/>
      </w:pPr>
      <w:r>
        <w:t>Update the Road Map for the implementation of the Wadden Sea World Heritage Strategy together with the strategic partners for approval by the WSB;</w:t>
      </w:r>
    </w:p>
    <w:p w14:paraId="15A70ECA" w14:textId="77777777" w:rsidR="002271E4" w:rsidRDefault="002271E4" w:rsidP="002271E4">
      <w:pPr>
        <w:pStyle w:val="Numbering"/>
      </w:pPr>
      <w:r>
        <w:t>Coordinate and oversee the implementation of the Road Map both in terms of its contents and financially together with the strategic partners;</w:t>
      </w:r>
    </w:p>
    <w:p w14:paraId="44EF087D" w14:textId="77777777" w:rsidR="002271E4" w:rsidRDefault="002271E4" w:rsidP="002271E4">
      <w:pPr>
        <w:pStyle w:val="Numbering"/>
      </w:pPr>
      <w:r>
        <w:t>Elaborate regular reports on the implementation of the strategy for discussion and approval by the WSB and the further development of the Road Map including, as appropriate, signalling of issues to be solved by the Board;</w:t>
      </w:r>
    </w:p>
    <w:p w14:paraId="21258A97" w14:textId="77777777" w:rsidR="002271E4" w:rsidRDefault="002271E4" w:rsidP="002271E4">
      <w:pPr>
        <w:pStyle w:val="Numbering"/>
      </w:pPr>
      <w:r>
        <w:t>Observe and appropriately respond to any other development nationally and internationally relevant for the Wadden Sea World Heritage (Strategy);</w:t>
      </w:r>
    </w:p>
    <w:p w14:paraId="38427AE7" w14:textId="77777777" w:rsidR="002271E4" w:rsidRDefault="002271E4" w:rsidP="002271E4">
      <w:pPr>
        <w:pStyle w:val="Numbering"/>
      </w:pPr>
      <w:r>
        <w:t>Oversee the use of the World Heritage logo in accordance with the approved guidelines;</w:t>
      </w:r>
    </w:p>
    <w:p w14:paraId="6971C4A9" w14:textId="4A40EB1C" w:rsidR="002271E4" w:rsidRDefault="002271E4" w:rsidP="002271E4">
      <w:pPr>
        <w:pStyle w:val="Numbering"/>
      </w:pPr>
      <w:r>
        <w:t>Implement any other activities and projects assigned by the WSB, including overseeing multilateral projects with regard to World Heritage, e.g</w:t>
      </w:r>
      <w:r w:rsidRPr="00476E5F">
        <w:t>., PROWAD LINK.</w:t>
      </w:r>
    </w:p>
    <w:p w14:paraId="4C9271F1" w14:textId="77777777" w:rsidR="002271E4" w:rsidRDefault="002271E4" w:rsidP="002271E4">
      <w:pPr>
        <w:pStyle w:val="Header3"/>
      </w:pPr>
      <w:r>
        <w:t>Deliverables</w:t>
      </w:r>
    </w:p>
    <w:p w14:paraId="292A0FA1" w14:textId="77777777" w:rsidR="002271E4" w:rsidRDefault="002271E4" w:rsidP="002271E4">
      <w:pPr>
        <w:pStyle w:val="Numbering"/>
        <w:numPr>
          <w:ilvl w:val="0"/>
          <w:numId w:val="6"/>
        </w:numPr>
      </w:pPr>
      <w:r>
        <w:t>A single integrated management plan for the entire UNESCO Wadden Sea World Heritage site;</w:t>
      </w:r>
    </w:p>
    <w:p w14:paraId="4DA66E9A" w14:textId="77777777" w:rsidR="002271E4" w:rsidRDefault="002271E4" w:rsidP="002271E4">
      <w:pPr>
        <w:pStyle w:val="Numbering"/>
      </w:pPr>
      <w:r>
        <w:t>Road Map 2019 - 2022 for the implementation of the Wadden Sea World Heritage Strategy;</w:t>
      </w:r>
    </w:p>
    <w:p w14:paraId="04EDDEFE" w14:textId="77777777" w:rsidR="002271E4" w:rsidRDefault="002271E4" w:rsidP="002271E4">
      <w:pPr>
        <w:pStyle w:val="Numbering"/>
      </w:pPr>
      <w:r>
        <w:t>Regular Progress Reports on the implementation of the Road Map;</w:t>
      </w:r>
    </w:p>
    <w:p w14:paraId="34906FF8" w14:textId="638CE149" w:rsidR="002271E4" w:rsidRDefault="000963D7" w:rsidP="002271E4">
      <w:pPr>
        <w:pStyle w:val="Numbering"/>
      </w:pPr>
      <w:r>
        <w:t>Evaluate and update</w:t>
      </w:r>
      <w:r w:rsidR="002271E4">
        <w:t xml:space="preserve"> the </w:t>
      </w:r>
      <w:r>
        <w:t xml:space="preserve">WH </w:t>
      </w:r>
      <w:r w:rsidR="002271E4">
        <w:t xml:space="preserve">Strategy </w:t>
      </w:r>
      <w:r>
        <w:t>in due time before the end of 2020</w:t>
      </w:r>
      <w:r w:rsidR="000E056F">
        <w:t>;</w:t>
      </w:r>
      <w:r w:rsidR="002271E4">
        <w:t xml:space="preserve"> </w:t>
      </w:r>
    </w:p>
    <w:p w14:paraId="242451B1" w14:textId="650D7052" w:rsidR="002271E4" w:rsidRDefault="002271E4" w:rsidP="002271E4">
      <w:pPr>
        <w:pStyle w:val="Numbering"/>
      </w:pPr>
      <w:r>
        <w:t>Preparation of an updated State of Conservation Report (SoC)</w:t>
      </w:r>
      <w:r w:rsidR="0058632E">
        <w:t>.</w:t>
      </w:r>
    </w:p>
    <w:p w14:paraId="205EA98D" w14:textId="77777777" w:rsidR="002271E4" w:rsidRDefault="002271E4" w:rsidP="002271E4">
      <w:pPr>
        <w:pStyle w:val="Header3"/>
      </w:pPr>
      <w:r>
        <w:t>Composition/Membership</w:t>
      </w:r>
    </w:p>
    <w:p w14:paraId="6A9B4D2D" w14:textId="77777777" w:rsidR="002271E4" w:rsidRDefault="002271E4" w:rsidP="002271E4">
      <w:pPr>
        <w:pStyle w:val="Textkrper1"/>
        <w:numPr>
          <w:ilvl w:val="0"/>
          <w:numId w:val="25"/>
        </w:numPr>
      </w:pPr>
      <w:r>
        <w:lastRenderedPageBreak/>
        <w:t xml:space="preserve">Chairperson plus </w:t>
      </w:r>
    </w:p>
    <w:p w14:paraId="62ECB813" w14:textId="11CB614D" w:rsidR="002271E4" w:rsidRDefault="002271E4" w:rsidP="002271E4">
      <w:pPr>
        <w:pStyle w:val="Textkrper1"/>
        <w:numPr>
          <w:ilvl w:val="0"/>
          <w:numId w:val="25"/>
        </w:numPr>
      </w:pPr>
      <w:r>
        <w:t>1-2 members per region</w:t>
      </w:r>
      <w:r w:rsidR="002B5130">
        <w:t xml:space="preserve"> </w:t>
      </w:r>
      <w:r w:rsidR="002B5130" w:rsidRPr="002B5130">
        <w:t xml:space="preserve">and/or state </w:t>
      </w:r>
      <w:r>
        <w:t xml:space="preserve"> (NL, </w:t>
      </w:r>
      <w:r w:rsidR="0006057D">
        <w:t>DE</w:t>
      </w:r>
      <w:r>
        <w:t>, LS, HH, SH, DK), preferably one from the policy level, one from management/operational level;</w:t>
      </w:r>
    </w:p>
    <w:p w14:paraId="2E5E8CFE" w14:textId="5D734809" w:rsidR="002271E4" w:rsidRDefault="002271E4" w:rsidP="002271E4">
      <w:pPr>
        <w:pStyle w:val="Textkrper1"/>
        <w:numPr>
          <w:ilvl w:val="0"/>
          <w:numId w:val="25"/>
        </w:numPr>
      </w:pPr>
      <w:r>
        <w:t>Guests representing WSB advisors</w:t>
      </w:r>
      <w:r w:rsidR="00856D63">
        <w:t xml:space="preserve"> and /or</w:t>
      </w:r>
      <w:r>
        <w:t xml:space="preserve"> strategic partners.</w:t>
      </w:r>
    </w:p>
    <w:p w14:paraId="7C53A8D0" w14:textId="77777777" w:rsidR="002271E4" w:rsidRDefault="002271E4" w:rsidP="002271E4">
      <w:pPr>
        <w:pStyle w:val="Header3"/>
      </w:pPr>
      <w:r>
        <w:t>Time schedule</w:t>
      </w:r>
    </w:p>
    <w:p w14:paraId="30802AC6" w14:textId="77777777" w:rsidR="002271E4" w:rsidRDefault="002271E4" w:rsidP="002271E4">
      <w:pPr>
        <w:pStyle w:val="Textkrper1"/>
      </w:pPr>
      <w:r>
        <w:t>2019 - 2022</w:t>
      </w:r>
    </w:p>
    <w:p w14:paraId="7EF7B286" w14:textId="2ADD9A59" w:rsidR="00046F5F" w:rsidRDefault="002271E4" w:rsidP="002A1B5A">
      <w:pPr>
        <w:pStyle w:val="berschrift1"/>
        <w:numPr>
          <w:ilvl w:val="0"/>
          <w:numId w:val="35"/>
        </w:numPr>
      </w:pPr>
      <w:r>
        <w:br w:type="page"/>
      </w:r>
      <w:r w:rsidR="00C475C2">
        <w:lastRenderedPageBreak/>
        <w:t>Expert</w:t>
      </w:r>
      <w:r w:rsidR="00046F5F">
        <w:t xml:space="preserve"> Group </w:t>
      </w:r>
      <w:r w:rsidR="00AE71E3">
        <w:t>Climate</w:t>
      </w:r>
      <w:r w:rsidR="00B474C7">
        <w:t xml:space="preserve"> </w:t>
      </w:r>
      <w:r w:rsidR="008B0611">
        <w:t xml:space="preserve">Change </w:t>
      </w:r>
      <w:r w:rsidR="00B474C7">
        <w:t>Adaptation</w:t>
      </w:r>
      <w:r w:rsidR="00D71F7C">
        <w:t xml:space="preserve"> </w:t>
      </w:r>
      <w:r w:rsidR="00046F5F">
        <w:t>(</w:t>
      </w:r>
      <w:r w:rsidR="00B474C7">
        <w:t>EG</w:t>
      </w:r>
      <w:r w:rsidR="00046F5F">
        <w:t>-</w:t>
      </w:r>
      <w:r w:rsidR="00AE71E3">
        <w:t>C</w:t>
      </w:r>
      <w:r w:rsidR="00046F5F">
        <w:t>)</w:t>
      </w:r>
      <w:r w:rsidR="00C475C2" w:rsidRPr="00C475C2">
        <w:t xml:space="preserve"> </w:t>
      </w:r>
    </w:p>
    <w:p w14:paraId="21277398" w14:textId="53F455FF" w:rsidR="008B32C7" w:rsidRDefault="008B32C7" w:rsidP="00FA025C">
      <w:pPr>
        <w:pStyle w:val="Header1centred"/>
      </w:pPr>
      <w:r>
        <w:t>Terms of Reference</w:t>
      </w:r>
    </w:p>
    <w:p w14:paraId="7FDD2207" w14:textId="77777777" w:rsidR="005E46B0" w:rsidRDefault="005E46B0" w:rsidP="00FA025C">
      <w:pPr>
        <w:rPr>
          <w:rFonts w:ascii="Arial" w:hAnsi="Arial" w:cs="Arial"/>
          <w:b/>
          <w:lang w:eastAsia="de-DE"/>
        </w:rPr>
      </w:pPr>
    </w:p>
    <w:p w14:paraId="077B1985" w14:textId="77777777" w:rsidR="005E46B0" w:rsidRDefault="005E46B0" w:rsidP="00FA025C">
      <w:pPr>
        <w:rPr>
          <w:rFonts w:ascii="Arial" w:hAnsi="Arial" w:cs="Arial"/>
          <w:b/>
          <w:lang w:eastAsia="de-DE"/>
        </w:rPr>
      </w:pPr>
    </w:p>
    <w:p w14:paraId="4BDE1063" w14:textId="616F5775" w:rsidR="008B32C7" w:rsidRPr="002A0EF0" w:rsidRDefault="00D50E14" w:rsidP="00FA025C">
      <w:pPr>
        <w:rPr>
          <w:rFonts w:ascii="Arial" w:hAnsi="Arial" w:cs="Arial"/>
          <w:b/>
          <w:lang w:eastAsia="de-DE"/>
        </w:rPr>
      </w:pPr>
      <w:r w:rsidRPr="002A0EF0">
        <w:rPr>
          <w:rFonts w:ascii="Arial" w:hAnsi="Arial" w:cs="Arial"/>
          <w:b/>
          <w:lang w:eastAsia="de-DE"/>
        </w:rPr>
        <w:t>Background</w:t>
      </w:r>
    </w:p>
    <w:p w14:paraId="3A6B1BFD" w14:textId="77777777" w:rsidR="009E1953" w:rsidRDefault="009E1953" w:rsidP="009E1953">
      <w:pPr>
        <w:pStyle w:val="Textkrper1"/>
      </w:pPr>
      <w:r>
        <w:t xml:space="preserve">Adaptation to the possible impacts of climate change is a major challenge for the Trilateral Wadden Sea Cooperation (TWSC). Focus of the TWSC is to enhance the resilience of the Wadden Sea ecosystem to impacts of climate change. </w:t>
      </w:r>
    </w:p>
    <w:p w14:paraId="3A1D95E6" w14:textId="0DB9D370" w:rsidR="009E1953" w:rsidRDefault="009E1953" w:rsidP="00410F47">
      <w:pPr>
        <w:pStyle w:val="Textkrper1"/>
        <w:spacing w:before="0"/>
      </w:pPr>
      <w:r>
        <w:t>EG-C reports to CWSS, but communicates with relevant TGs with regard to reporting, evaluations and recommendations. In addition, the group may report to the WSB once yearly.</w:t>
      </w:r>
    </w:p>
    <w:p w14:paraId="1C0C5BFE" w14:textId="77777777" w:rsidR="009E1953" w:rsidRDefault="009E1953" w:rsidP="009E1953">
      <w:pPr>
        <w:pStyle w:val="Header3"/>
      </w:pPr>
      <w:r>
        <w:t>Objective</w:t>
      </w:r>
    </w:p>
    <w:p w14:paraId="2131E509" w14:textId="77777777" w:rsidR="009E1953" w:rsidRDefault="009E1953" w:rsidP="009E1953">
      <w:pPr>
        <w:pStyle w:val="Textkrper1"/>
      </w:pPr>
      <w:r w:rsidRPr="009518A9">
        <w:t>Coordinated trilateral policies</w:t>
      </w:r>
      <w:r w:rsidRPr="00626E28">
        <w:t xml:space="preserve"> for enhancing the </w:t>
      </w:r>
      <w:r w:rsidRPr="009518A9">
        <w:t>resilience</w:t>
      </w:r>
      <w:r w:rsidRPr="00626E28">
        <w:t xml:space="preserve"> of the Wadden Sea </w:t>
      </w:r>
      <w:r w:rsidRPr="009518A9">
        <w:t>ecosystem</w:t>
      </w:r>
      <w:r w:rsidRPr="00626E28">
        <w:t xml:space="preserve"> to</w:t>
      </w:r>
      <w:r>
        <w:t xml:space="preserve"> impacts of climate change.</w:t>
      </w:r>
    </w:p>
    <w:p w14:paraId="5D6F62D8" w14:textId="77777777" w:rsidR="0065559F" w:rsidRDefault="0065559F" w:rsidP="008814A9">
      <w:pPr>
        <w:pStyle w:val="Header3"/>
      </w:pPr>
      <w:r>
        <w:t>Tasks</w:t>
      </w:r>
    </w:p>
    <w:p w14:paraId="152FDBFA" w14:textId="30D91C71" w:rsidR="0065559F" w:rsidRDefault="0065559F" w:rsidP="00410F47">
      <w:pPr>
        <w:pStyle w:val="Numbering"/>
        <w:numPr>
          <w:ilvl w:val="0"/>
          <w:numId w:val="46"/>
        </w:numPr>
      </w:pPr>
      <w:r w:rsidRPr="00BF041F">
        <w:t>Monitor and stimulate</w:t>
      </w:r>
      <w:r>
        <w:t xml:space="preserve"> the implementation of the trilateral climate change adaptation strategy (CCAS) and update the priorities contained therein where needed;</w:t>
      </w:r>
    </w:p>
    <w:p w14:paraId="6816C1B0" w14:textId="77777777" w:rsidR="0065559F" w:rsidRDefault="0065559F" w:rsidP="00FA025C">
      <w:pPr>
        <w:pStyle w:val="Numbering"/>
      </w:pPr>
      <w:r>
        <w:t>Stimulate and support exchange of knowledge on effects of climate change with respect to morphology and biology of the Wadden Sea and possible adaptation measures;</w:t>
      </w:r>
    </w:p>
    <w:p w14:paraId="4C115BCC" w14:textId="77777777" w:rsidR="0065559F" w:rsidRDefault="0065559F" w:rsidP="00FA025C">
      <w:pPr>
        <w:pStyle w:val="Numbering"/>
      </w:pPr>
      <w:r>
        <w:t>Contribute/review relevant chapters of the Quality Status Report (if applicable);</w:t>
      </w:r>
    </w:p>
    <w:p w14:paraId="50FB794D" w14:textId="6F9084CD" w:rsidR="0065559F" w:rsidRDefault="0065559F" w:rsidP="00FA025C">
      <w:pPr>
        <w:pStyle w:val="Numbering"/>
      </w:pPr>
      <w:r>
        <w:t>Advise/support implementation of the trilateral research agenda and prioritization of research (with respect to the topic of climate change adaptation and required system knowledge);</w:t>
      </w:r>
    </w:p>
    <w:p w14:paraId="2928A366" w14:textId="4A5F91B7" w:rsidR="00410F47" w:rsidRDefault="00410F47" w:rsidP="00410F47">
      <w:pPr>
        <w:pStyle w:val="Numbering"/>
      </w:pPr>
      <w:r>
        <w:t>Implement and/or coordinate any other activities and projects assigned by the Wadden Sea Board.</w:t>
      </w:r>
    </w:p>
    <w:p w14:paraId="154D6313" w14:textId="77777777" w:rsidR="0065559F" w:rsidRDefault="0065559F" w:rsidP="008814A9">
      <w:pPr>
        <w:pStyle w:val="Header3"/>
      </w:pPr>
      <w:r>
        <w:t>Deliverables</w:t>
      </w:r>
    </w:p>
    <w:p w14:paraId="7A28F1F7" w14:textId="771AF566" w:rsidR="0065559F" w:rsidRDefault="0065559F" w:rsidP="0072551F">
      <w:pPr>
        <w:pStyle w:val="Numbering"/>
        <w:numPr>
          <w:ilvl w:val="0"/>
          <w:numId w:val="11"/>
        </w:numPr>
      </w:pPr>
      <w:r w:rsidRPr="00B474C7">
        <w:t>Updated</w:t>
      </w:r>
      <w:r>
        <w:t xml:space="preserve"> list of actions for implementation of the trilateral CCAS</w:t>
      </w:r>
    </w:p>
    <w:p w14:paraId="0FD77C08" w14:textId="69468719" w:rsidR="0065559F" w:rsidRDefault="0065559F" w:rsidP="00FA025C">
      <w:pPr>
        <w:pStyle w:val="Numbering"/>
      </w:pPr>
      <w:r>
        <w:t>Recommendations for amending and initiating trilateral policies</w:t>
      </w:r>
      <w:r w:rsidR="00A01E60">
        <w:t xml:space="preserve"> and, as appropriate, pilot projects</w:t>
      </w:r>
      <w:r>
        <w:t xml:space="preserve"> for climate change adaptation</w:t>
      </w:r>
    </w:p>
    <w:p w14:paraId="58BDF694" w14:textId="3F9AC860" w:rsidR="0065559F" w:rsidRDefault="0065559F" w:rsidP="00FA025C">
      <w:pPr>
        <w:pStyle w:val="Numbering"/>
      </w:pPr>
      <w:r>
        <w:t>Chapters of the Quality Status Report (if applicable)</w:t>
      </w:r>
    </w:p>
    <w:p w14:paraId="0AA96409" w14:textId="6A77F0EE" w:rsidR="0065559F" w:rsidRDefault="0065559F" w:rsidP="00FA025C">
      <w:pPr>
        <w:pStyle w:val="Numbering"/>
      </w:pPr>
      <w:r>
        <w:t xml:space="preserve">Maintenance of the trilateral knowledge platform </w:t>
      </w:r>
    </w:p>
    <w:p w14:paraId="1F6F5FB3" w14:textId="7ADBCA2C" w:rsidR="0065559F" w:rsidRDefault="0065559F" w:rsidP="00FA025C">
      <w:pPr>
        <w:pStyle w:val="Numbering"/>
      </w:pPr>
      <w:r>
        <w:t>Trilateral Workshop/</w:t>
      </w:r>
      <w:r w:rsidR="0061329F">
        <w:t xml:space="preserve">symposia </w:t>
      </w:r>
      <w:r>
        <w:t>on climate change adaptation</w:t>
      </w:r>
      <w:r w:rsidR="009518A9">
        <w:t xml:space="preserve"> on relevant topics</w:t>
      </w:r>
      <w:r w:rsidR="00FC3B46">
        <w:t>.</w:t>
      </w:r>
      <w:r w:rsidR="009518A9">
        <w:t xml:space="preserve"> </w:t>
      </w:r>
    </w:p>
    <w:p w14:paraId="0EB712DF" w14:textId="77777777" w:rsidR="0065559F" w:rsidRDefault="0065559F" w:rsidP="008814A9">
      <w:pPr>
        <w:pStyle w:val="Header3"/>
      </w:pPr>
      <w:r>
        <w:t>Composition/Membership</w:t>
      </w:r>
    </w:p>
    <w:p w14:paraId="7A2FF47D" w14:textId="188EBA04" w:rsidR="0065559F" w:rsidRDefault="0065559F" w:rsidP="0072551F">
      <w:pPr>
        <w:pStyle w:val="Textkrper1"/>
        <w:numPr>
          <w:ilvl w:val="0"/>
          <w:numId w:val="26"/>
        </w:numPr>
      </w:pPr>
      <w:r>
        <w:t>Chairperson</w:t>
      </w:r>
      <w:r w:rsidR="00D50E14">
        <w:t xml:space="preserve"> plus</w:t>
      </w:r>
    </w:p>
    <w:p w14:paraId="0DBF2138" w14:textId="50807CDF" w:rsidR="0065559F" w:rsidRDefault="002A0EF0" w:rsidP="0072551F">
      <w:pPr>
        <w:pStyle w:val="Textkrper1"/>
        <w:numPr>
          <w:ilvl w:val="0"/>
          <w:numId w:val="25"/>
        </w:numPr>
      </w:pPr>
      <w:r>
        <w:t xml:space="preserve">1-2 </w:t>
      </w:r>
      <w:r w:rsidR="0065559F">
        <w:t xml:space="preserve">members per region (DK, SH, HH, LS, NL), representing coastal defence/morphology, climate change adaptation </w:t>
      </w:r>
      <w:r w:rsidR="00645859">
        <w:t xml:space="preserve">and </w:t>
      </w:r>
      <w:r w:rsidR="0065559F">
        <w:t>biology</w:t>
      </w:r>
      <w:r>
        <w:t xml:space="preserve">, </w:t>
      </w:r>
      <w:r w:rsidR="0065559F">
        <w:t>ecology</w:t>
      </w:r>
      <w:r w:rsidR="00645859">
        <w:t xml:space="preserve"> and nature conservation</w:t>
      </w:r>
      <w:r w:rsidR="0065559F">
        <w:t xml:space="preserve">, extended </w:t>
      </w:r>
      <w:r>
        <w:t>by</w:t>
      </w:r>
      <w:r w:rsidR="0065559F">
        <w:t xml:space="preserve"> representative</w:t>
      </w:r>
      <w:r>
        <w:t>s</w:t>
      </w:r>
      <w:r w:rsidR="0065559F">
        <w:t xml:space="preserve"> from NGO</w:t>
      </w:r>
      <w:r>
        <w:t>s</w:t>
      </w:r>
      <w:r w:rsidR="0065559F">
        <w:t xml:space="preserve"> and Wadden Sea </w:t>
      </w:r>
      <w:r w:rsidR="00645859">
        <w:t>F</w:t>
      </w:r>
      <w:r w:rsidR="0065559F">
        <w:t>orum.</w:t>
      </w:r>
    </w:p>
    <w:p w14:paraId="786A089A" w14:textId="0006B649" w:rsidR="0065559F" w:rsidRDefault="0065559F" w:rsidP="008814A9">
      <w:pPr>
        <w:pStyle w:val="Header3"/>
      </w:pPr>
      <w:r>
        <w:t>Time schedule</w:t>
      </w:r>
    </w:p>
    <w:p w14:paraId="1E5683A8" w14:textId="11874581" w:rsidR="00925D64" w:rsidRDefault="0061329F" w:rsidP="00117958">
      <w:pPr>
        <w:pStyle w:val="Textkrper1"/>
        <w:rPr>
          <w:rFonts w:ascii="Arial" w:hAnsi="Arial" w:cs="Arial"/>
          <w:szCs w:val="28"/>
        </w:rPr>
      </w:pPr>
      <w:r>
        <w:t>Permanent</w:t>
      </w:r>
      <w:r w:rsidR="00925D64">
        <w:br w:type="page"/>
      </w:r>
    </w:p>
    <w:p w14:paraId="52EAB131" w14:textId="4690E670" w:rsidR="006E2B74" w:rsidRPr="005E46B0" w:rsidRDefault="006E2B74" w:rsidP="00406951">
      <w:pPr>
        <w:pStyle w:val="berschrift1"/>
        <w:numPr>
          <w:ilvl w:val="0"/>
          <w:numId w:val="35"/>
        </w:numPr>
        <w:rPr>
          <w:rFonts w:cs="Arial"/>
          <w:b/>
          <w:szCs w:val="28"/>
          <w:lang w:val="en-US"/>
        </w:rPr>
      </w:pPr>
      <w:r>
        <w:lastRenderedPageBreak/>
        <w:t>Expert Groups</w:t>
      </w:r>
      <w:r w:rsidRPr="004F5FAD">
        <w:t xml:space="preserve"> </w:t>
      </w:r>
      <w:r>
        <w:t>Migratory</w:t>
      </w:r>
      <w:r w:rsidRPr="004F5FAD">
        <w:t xml:space="preserve"> </w:t>
      </w:r>
      <w:r>
        <w:t xml:space="preserve">and Breeding </w:t>
      </w:r>
      <w:r w:rsidRPr="004F5FAD">
        <w:t>Bird</w:t>
      </w:r>
      <w:r>
        <w:t>s</w:t>
      </w:r>
    </w:p>
    <w:p w14:paraId="109C908D" w14:textId="77777777" w:rsidR="006E2B74" w:rsidRPr="00B474C7" w:rsidRDefault="006E2B74" w:rsidP="009E1953">
      <w:pPr>
        <w:pStyle w:val="Header1centred"/>
        <w:rPr>
          <w:b/>
          <w:lang w:val="en-US"/>
        </w:rPr>
      </w:pPr>
      <w:r>
        <w:t>(EG-MB/</w:t>
      </w:r>
      <w:r w:rsidRPr="009063F2">
        <w:t>BB)</w:t>
      </w:r>
    </w:p>
    <w:p w14:paraId="61622C57" w14:textId="77777777" w:rsidR="006E2B74" w:rsidRDefault="006E2B74" w:rsidP="006E2B74">
      <w:pPr>
        <w:pStyle w:val="Header1centred"/>
      </w:pPr>
      <w:r>
        <w:t>Terms of Reference</w:t>
      </w:r>
    </w:p>
    <w:p w14:paraId="0E4BEB83" w14:textId="77777777" w:rsidR="006E2B74" w:rsidRDefault="006E2B74" w:rsidP="006E2B74">
      <w:pPr>
        <w:pStyle w:val="Header3"/>
        <w:rPr>
          <w:lang w:eastAsia="de-DE"/>
        </w:rPr>
      </w:pPr>
      <w:r>
        <w:rPr>
          <w:lang w:eastAsia="de-DE"/>
        </w:rPr>
        <w:t>Background</w:t>
      </w:r>
    </w:p>
    <w:p w14:paraId="1196B545" w14:textId="475E7056" w:rsidR="006E2B74" w:rsidRDefault="006E2B74" w:rsidP="006E2B74">
      <w:pPr>
        <w:pStyle w:val="Textkrper1"/>
        <w:rPr>
          <w:lang w:eastAsia="de-DE"/>
        </w:rPr>
      </w:pPr>
      <w:r>
        <w:rPr>
          <w:lang w:eastAsia="de-DE"/>
        </w:rPr>
        <w:t>The Wadden Sea is an indispensable part of the East Atlantic Flyway and with millions of birds using the area for staging, breeding, moulting and wintering it is of outstanding international importance for migrating and breeding birds. The biodiversity and abundance of birds is one of the reasons why the Wadden Sea was designated a World Heritage site. The results of the various bird parameters of the Trilateral Monitoring and Assessment Programme (TMAP) on migratory and breeding birds are needed to assess and develop the Targets of the Wadden Sea Plan and hence deliver necessary information for trilateral bird management. The Joint Expert Group Monitoring Migratory and Breeding Birds (EG-MB/BB) is responsible for coordinating the monitoring programme</w:t>
      </w:r>
      <w:r w:rsidRPr="002A5162">
        <w:t xml:space="preserve"> </w:t>
      </w:r>
      <w:r>
        <w:t xml:space="preserve">and </w:t>
      </w:r>
      <w:r w:rsidRPr="002A5162">
        <w:rPr>
          <w:lang w:eastAsia="de-DE"/>
        </w:rPr>
        <w:t>play</w:t>
      </w:r>
      <w:r>
        <w:rPr>
          <w:lang w:eastAsia="de-DE"/>
        </w:rPr>
        <w:t>s</w:t>
      </w:r>
      <w:r w:rsidRPr="002A5162">
        <w:rPr>
          <w:lang w:eastAsia="de-DE"/>
        </w:rPr>
        <w:t xml:space="preserve"> a role in the Wadden Sea Flyway Initiative (WSFI) Steering Group</w:t>
      </w:r>
      <w:r>
        <w:rPr>
          <w:lang w:eastAsia="de-DE"/>
        </w:rPr>
        <w:t>. The EG</w:t>
      </w:r>
      <w:r w:rsidR="00410F47">
        <w:rPr>
          <w:lang w:eastAsia="de-DE"/>
        </w:rPr>
        <w:t>s</w:t>
      </w:r>
      <w:r>
        <w:rPr>
          <w:lang w:eastAsia="de-DE"/>
        </w:rPr>
        <w:t xml:space="preserve"> on Migratory and Breeding Birds </w:t>
      </w:r>
      <w:r w:rsidRPr="002A5162">
        <w:rPr>
          <w:lang w:eastAsia="de-DE"/>
        </w:rPr>
        <w:t>report</w:t>
      </w:r>
      <w:r>
        <w:rPr>
          <w:lang w:eastAsia="de-DE"/>
        </w:rPr>
        <w:t>s</w:t>
      </w:r>
      <w:r w:rsidRPr="002A5162">
        <w:rPr>
          <w:lang w:eastAsia="de-DE"/>
        </w:rPr>
        <w:t xml:space="preserve"> to </w:t>
      </w:r>
      <w:r>
        <w:rPr>
          <w:lang w:eastAsia="de-DE"/>
        </w:rPr>
        <w:t xml:space="preserve">CWSS and to </w:t>
      </w:r>
      <w:r w:rsidRPr="002A5162">
        <w:rPr>
          <w:lang w:eastAsia="de-DE"/>
        </w:rPr>
        <w:t>TG-</w:t>
      </w:r>
      <w:r>
        <w:rPr>
          <w:lang w:eastAsia="de-DE"/>
        </w:rPr>
        <w:t>M/TG-</w:t>
      </w:r>
      <w:r w:rsidRPr="002A5162">
        <w:rPr>
          <w:lang w:eastAsia="de-DE"/>
        </w:rPr>
        <w:t>M</w:t>
      </w:r>
      <w:r w:rsidR="00410F47">
        <w:rPr>
          <w:lang w:eastAsia="de-DE"/>
        </w:rPr>
        <w:t>A</w:t>
      </w:r>
      <w:r>
        <w:rPr>
          <w:lang w:eastAsia="de-DE"/>
        </w:rPr>
        <w:t xml:space="preserve"> if appropriate.</w:t>
      </w:r>
    </w:p>
    <w:p w14:paraId="5DB4BFC7" w14:textId="77777777" w:rsidR="006E2B74" w:rsidRDefault="006E2B74" w:rsidP="006E2B74">
      <w:pPr>
        <w:pStyle w:val="Textkrper1"/>
        <w:rPr>
          <w:lang w:eastAsia="de-DE"/>
        </w:rPr>
      </w:pPr>
    </w:p>
    <w:p w14:paraId="7A2E1978" w14:textId="77777777" w:rsidR="006E2B74" w:rsidRDefault="006E2B74" w:rsidP="006E2B74">
      <w:pPr>
        <w:pStyle w:val="Header3"/>
        <w:rPr>
          <w:lang w:eastAsia="de-DE"/>
        </w:rPr>
      </w:pPr>
      <w:r>
        <w:rPr>
          <w:lang w:eastAsia="de-DE"/>
        </w:rPr>
        <w:t>Objectives</w:t>
      </w:r>
    </w:p>
    <w:p w14:paraId="55940B2D" w14:textId="77777777" w:rsidR="006E2B74" w:rsidRPr="002A71CE" w:rsidRDefault="006E2B74" w:rsidP="006E2B74">
      <w:pPr>
        <w:pStyle w:val="Header3"/>
        <w:rPr>
          <w:rFonts w:ascii="Times New Roman" w:hAnsi="Times New Roman" w:cs="Times New Roman"/>
          <w:b w:val="0"/>
          <w:lang w:eastAsia="de-DE"/>
        </w:rPr>
      </w:pPr>
      <w:r>
        <w:rPr>
          <w:rFonts w:ascii="Times New Roman" w:hAnsi="Times New Roman" w:cs="Times New Roman"/>
          <w:b w:val="0"/>
        </w:rPr>
        <w:t>Promoting cooperation and monitoring with the aim of achieving v</w:t>
      </w:r>
      <w:r w:rsidRPr="002A71CE">
        <w:rPr>
          <w:rFonts w:ascii="Times New Roman" w:hAnsi="Times New Roman" w:cs="Times New Roman"/>
          <w:b w:val="0"/>
        </w:rPr>
        <w:t xml:space="preserve">iable populations of </w:t>
      </w:r>
      <w:r>
        <w:rPr>
          <w:rFonts w:ascii="Times New Roman" w:hAnsi="Times New Roman" w:cs="Times New Roman"/>
          <w:b w:val="0"/>
        </w:rPr>
        <w:t xml:space="preserve">Wadden Sea </w:t>
      </w:r>
      <w:r w:rsidRPr="002A71CE">
        <w:rPr>
          <w:rFonts w:ascii="Times New Roman" w:hAnsi="Times New Roman" w:cs="Times New Roman"/>
          <w:b w:val="0"/>
        </w:rPr>
        <w:t>migratory and breeding birds with stable or increasing numbers</w:t>
      </w:r>
      <w:r>
        <w:rPr>
          <w:rFonts w:ascii="Times New Roman" w:hAnsi="Times New Roman" w:cs="Times New Roman"/>
          <w:b w:val="0"/>
        </w:rPr>
        <w:t>, improved national and international bird management, breeding success and cooperation with the WSFI and sound monitoring and assessment of the bird populations.</w:t>
      </w:r>
    </w:p>
    <w:p w14:paraId="2B7D9D7B" w14:textId="77777777" w:rsidR="006E2B74" w:rsidRDefault="006E2B74" w:rsidP="006E2B74">
      <w:pPr>
        <w:pStyle w:val="Header3"/>
        <w:rPr>
          <w:lang w:eastAsia="de-DE"/>
        </w:rPr>
      </w:pPr>
      <w:r>
        <w:rPr>
          <w:lang w:eastAsia="de-DE"/>
        </w:rPr>
        <w:t>Tasks</w:t>
      </w:r>
    </w:p>
    <w:p w14:paraId="0D0F5340" w14:textId="77777777" w:rsidR="006E2B74" w:rsidRPr="0061329F" w:rsidRDefault="006E2B74" w:rsidP="006E2B74">
      <w:pPr>
        <w:pStyle w:val="Listenabsatz"/>
        <w:numPr>
          <w:ilvl w:val="0"/>
          <w:numId w:val="15"/>
        </w:numPr>
        <w:ind w:left="851" w:hanging="491"/>
      </w:pPr>
      <w:r w:rsidRPr="0061329F">
        <w:t>Follow the development of populations of migratory and breeding birds, and if necessary</w:t>
      </w:r>
      <w:r>
        <w:t>,</w:t>
      </w:r>
      <w:r w:rsidRPr="0061329F">
        <w:t xml:space="preserve"> counteracting declines;</w:t>
      </w:r>
    </w:p>
    <w:p w14:paraId="1FF97061" w14:textId="77777777" w:rsidR="006E2B74" w:rsidRPr="0061329F" w:rsidRDefault="006E2B74" w:rsidP="006E2B74">
      <w:pPr>
        <w:pStyle w:val="Listenabsatz"/>
        <w:ind w:left="851" w:hanging="491"/>
      </w:pPr>
      <w:r w:rsidRPr="0061329F">
        <w:t>Assess the quality status of bird populations</w:t>
      </w:r>
      <w:r>
        <w:t>, their breeding success,</w:t>
      </w:r>
      <w:r w:rsidRPr="0061329F">
        <w:t xml:space="preserve"> and their habitats;</w:t>
      </w:r>
    </w:p>
    <w:p w14:paraId="3F590092" w14:textId="77777777" w:rsidR="006E2B74" w:rsidRPr="0061329F" w:rsidRDefault="006E2B74" w:rsidP="006E2B74">
      <w:pPr>
        <w:pStyle w:val="Listenabsatz"/>
        <w:ind w:left="851" w:hanging="491"/>
      </w:pPr>
      <w:r w:rsidRPr="0061329F">
        <w:t>Implement, adapt and improv</w:t>
      </w:r>
      <w:r>
        <w:t>e</w:t>
      </w:r>
      <w:r w:rsidRPr="0061329F">
        <w:t xml:space="preserve"> trilateral and national bird management; </w:t>
      </w:r>
    </w:p>
    <w:p w14:paraId="5477B7E1" w14:textId="77777777" w:rsidR="006E2B74" w:rsidRPr="0061329F" w:rsidRDefault="006E2B74" w:rsidP="006E2B74">
      <w:pPr>
        <w:pStyle w:val="Listenabsatz"/>
        <w:ind w:left="851" w:hanging="491"/>
      </w:pPr>
      <w:r w:rsidRPr="0061329F">
        <w:t>Provi</w:t>
      </w:r>
      <w:r>
        <w:t>de</w:t>
      </w:r>
      <w:r w:rsidRPr="0061329F">
        <w:t xml:space="preserve"> bird data needed for assessment of the Target in the Wadden Sea Plan</w:t>
      </w:r>
      <w:r>
        <w:t xml:space="preserve"> (WSP)</w:t>
      </w:r>
      <w:r w:rsidRPr="0061329F">
        <w:t xml:space="preserve"> and other purposes; Improve </w:t>
      </w:r>
      <w:r>
        <w:t>the</w:t>
      </w:r>
      <w:r w:rsidRPr="0061329F">
        <w:t xml:space="preserve"> communication between the various regions in the context of the WSP Targets, Leeuwarden Declaration</w:t>
      </w:r>
      <w:r>
        <w:t xml:space="preserve"> (LD)</w:t>
      </w:r>
      <w:r w:rsidRPr="0061329F">
        <w:t>, policies, research and projects;</w:t>
      </w:r>
    </w:p>
    <w:p w14:paraId="0FD62096" w14:textId="77777777" w:rsidR="006E2B74" w:rsidRPr="0061329F" w:rsidRDefault="006E2B74" w:rsidP="006E2B74">
      <w:pPr>
        <w:pStyle w:val="Listenabsatz"/>
        <w:ind w:left="851" w:hanging="491"/>
      </w:pPr>
      <w:r w:rsidRPr="0061329F">
        <w:t>Implement and evaluat</w:t>
      </w:r>
      <w:r>
        <w:t>e</w:t>
      </w:r>
      <w:r w:rsidRPr="0061329F">
        <w:t xml:space="preserve"> the trilateral Breeding Bird Action Plan;</w:t>
      </w:r>
    </w:p>
    <w:p w14:paraId="24ACD8E9" w14:textId="77777777" w:rsidR="006E2B74" w:rsidRPr="0061329F" w:rsidRDefault="006E2B74" w:rsidP="006E2B74">
      <w:pPr>
        <w:pStyle w:val="Listenabsatz"/>
        <w:ind w:left="851" w:hanging="491"/>
      </w:pPr>
      <w:r w:rsidRPr="0061329F">
        <w:t>Act as important partner in the Wadden Sea Flyway Initiative for implementing the Flyway Vision</w:t>
      </w:r>
      <w:r>
        <w:t>;</w:t>
      </w:r>
    </w:p>
    <w:p w14:paraId="160A21E3" w14:textId="77777777" w:rsidR="006E2B74" w:rsidRPr="0061329F" w:rsidRDefault="006E2B74" w:rsidP="006E2B74">
      <w:pPr>
        <w:pStyle w:val="Listenabsatz"/>
        <w:ind w:left="851" w:hanging="491"/>
      </w:pPr>
      <w:r>
        <w:rPr>
          <w:lang w:eastAsia="de-DE"/>
        </w:rPr>
        <w:t xml:space="preserve">coordinate the </w:t>
      </w:r>
      <w:r w:rsidRPr="0061329F">
        <w:t>TMAP bird monitoring and to assess the implementation status;</w:t>
      </w:r>
    </w:p>
    <w:p w14:paraId="1DC2C0A2" w14:textId="77777777" w:rsidR="006E2B74" w:rsidRPr="0061329F" w:rsidRDefault="006E2B74" w:rsidP="006E2B74">
      <w:pPr>
        <w:pStyle w:val="Listenabsatz"/>
        <w:ind w:left="851" w:hanging="491"/>
      </w:pPr>
      <w:r w:rsidRPr="0061329F">
        <w:t>prepare regular trilateral progress reports about the status of migratory and breeding birds;</w:t>
      </w:r>
    </w:p>
    <w:p w14:paraId="5364BF0C" w14:textId="77777777" w:rsidR="006E2B74" w:rsidRPr="0061329F" w:rsidRDefault="006E2B74" w:rsidP="006E2B74">
      <w:pPr>
        <w:pStyle w:val="Listenabsatz"/>
        <w:ind w:left="851" w:hanging="491"/>
      </w:pPr>
      <w:r w:rsidRPr="0061329F">
        <w:t>further develop trilateral monitoring methods of the different TMAP bird parameters and provide appropriate trilateral guidelines for the regions;</w:t>
      </w:r>
    </w:p>
    <w:p w14:paraId="5B02120A" w14:textId="77777777" w:rsidR="006E2B74" w:rsidRPr="0061329F" w:rsidRDefault="006E2B74" w:rsidP="006E2B74">
      <w:pPr>
        <w:pStyle w:val="Listenabsatz"/>
        <w:ind w:left="851" w:hanging="491"/>
      </w:pPr>
      <w:r w:rsidRPr="0061329F">
        <w:t>assess results of all bird monitoring parameters and to give advice on the scientific basis for management in a trilateral context;</w:t>
      </w:r>
    </w:p>
    <w:p w14:paraId="797AEBF0" w14:textId="77777777" w:rsidR="006E2B74" w:rsidRPr="0061329F" w:rsidRDefault="006E2B74" w:rsidP="006E2B74">
      <w:pPr>
        <w:pStyle w:val="Listenabsatz"/>
        <w:ind w:left="851" w:hanging="491"/>
      </w:pPr>
      <w:r w:rsidRPr="0061329F">
        <w:lastRenderedPageBreak/>
        <w:t>collect, maintain and process all relevant bird data in trilateral databases and provide data for various purposes (EU, research, education, public; to stimulate research projects as appropriate and cooperate with other TMAP groups;</w:t>
      </w:r>
    </w:p>
    <w:p w14:paraId="7BBA3C03" w14:textId="77777777" w:rsidR="006E2B74" w:rsidRPr="0061329F" w:rsidRDefault="006E2B74" w:rsidP="006E2B74">
      <w:pPr>
        <w:pStyle w:val="Listenabsatz"/>
        <w:ind w:left="851" w:hanging="491"/>
      </w:pPr>
      <w:r w:rsidRPr="0061329F">
        <w:t xml:space="preserve">further develop management proposals for the further implementation of the Breeding Bird Action Plan; </w:t>
      </w:r>
    </w:p>
    <w:p w14:paraId="329D3999" w14:textId="77777777" w:rsidR="006E2B74" w:rsidRDefault="006E2B74" w:rsidP="006E2B74">
      <w:pPr>
        <w:pStyle w:val="Listenabsatz"/>
        <w:ind w:left="851" w:hanging="491"/>
        <w:rPr>
          <w:lang w:eastAsia="de-DE"/>
        </w:rPr>
      </w:pPr>
      <w:r>
        <w:rPr>
          <w:lang w:eastAsia="de-DE"/>
        </w:rPr>
        <w:t xml:space="preserve">to </w:t>
      </w:r>
      <w:r w:rsidRPr="0061329F">
        <w:t>be the responsible monitoring and assessment group for the Wadden Sea in the framework of the Wadden Sea Flyway Initiative.</w:t>
      </w:r>
    </w:p>
    <w:p w14:paraId="54B77BD2" w14:textId="77777777" w:rsidR="006E2B74" w:rsidRDefault="006E2B74" w:rsidP="006E2B74">
      <w:pPr>
        <w:pStyle w:val="Header3"/>
        <w:spacing w:after="240"/>
        <w:rPr>
          <w:lang w:eastAsia="de-DE"/>
        </w:rPr>
      </w:pPr>
      <w:r>
        <w:rPr>
          <w:lang w:eastAsia="de-DE"/>
        </w:rPr>
        <w:t>Deliverables</w:t>
      </w:r>
    </w:p>
    <w:p w14:paraId="1E160DF1" w14:textId="1ED12033" w:rsidR="006E2B74" w:rsidRPr="00E85B1B" w:rsidRDefault="006E2B74" w:rsidP="006E2B74">
      <w:pPr>
        <w:pStyle w:val="Listenabsatz"/>
        <w:numPr>
          <w:ilvl w:val="0"/>
          <w:numId w:val="22"/>
        </w:numPr>
        <w:rPr>
          <w:b/>
          <w:lang w:eastAsia="de-DE"/>
        </w:rPr>
      </w:pPr>
      <w:r>
        <w:rPr>
          <w:lang w:eastAsia="de-DE"/>
        </w:rPr>
        <w:t>W</w:t>
      </w:r>
      <w:r w:rsidRPr="00AA6371">
        <w:rPr>
          <w:lang w:eastAsia="de-DE"/>
        </w:rPr>
        <w:t>ork program</w:t>
      </w:r>
      <w:r w:rsidR="00BF041F">
        <w:rPr>
          <w:lang w:eastAsia="de-DE"/>
        </w:rPr>
        <w:t>me</w:t>
      </w:r>
      <w:r w:rsidRPr="00AA6371">
        <w:rPr>
          <w:lang w:eastAsia="de-DE"/>
        </w:rPr>
        <w:t xml:space="preserve"> 201</w:t>
      </w:r>
      <w:r>
        <w:rPr>
          <w:lang w:eastAsia="de-DE"/>
        </w:rPr>
        <w:t>9</w:t>
      </w:r>
      <w:r w:rsidRPr="00AA6371">
        <w:rPr>
          <w:lang w:eastAsia="de-DE"/>
        </w:rPr>
        <w:t>-2022</w:t>
      </w:r>
      <w:r>
        <w:rPr>
          <w:lang w:eastAsia="de-DE"/>
        </w:rPr>
        <w:t>;</w:t>
      </w:r>
    </w:p>
    <w:p w14:paraId="4F21AA8B" w14:textId="77777777" w:rsidR="006E2B74" w:rsidRPr="00B64F3F" w:rsidRDefault="006E2B74" w:rsidP="006E2B74">
      <w:pPr>
        <w:pStyle w:val="Listenabsatz"/>
        <w:numPr>
          <w:ilvl w:val="0"/>
          <w:numId w:val="22"/>
        </w:numPr>
        <w:rPr>
          <w:b/>
          <w:lang w:eastAsia="de-DE"/>
        </w:rPr>
      </w:pPr>
      <w:r w:rsidRPr="00D91F99">
        <w:rPr>
          <w:lang w:eastAsia="de-DE"/>
        </w:rPr>
        <w:t xml:space="preserve">regular trilateral progress reports </w:t>
      </w:r>
      <w:r>
        <w:rPr>
          <w:lang w:eastAsia="de-DE"/>
        </w:rPr>
        <w:t>on</w:t>
      </w:r>
      <w:r w:rsidRPr="00D91F99">
        <w:rPr>
          <w:lang w:eastAsia="de-DE"/>
        </w:rPr>
        <w:t xml:space="preserve"> the status of migratory and breeding birds</w:t>
      </w:r>
      <w:r>
        <w:rPr>
          <w:lang w:eastAsia="de-DE"/>
        </w:rPr>
        <w:t>;</w:t>
      </w:r>
    </w:p>
    <w:p w14:paraId="59988816" w14:textId="77777777" w:rsidR="006E2B74" w:rsidRPr="00B64F3F" w:rsidRDefault="006E2B74" w:rsidP="006E2B74">
      <w:pPr>
        <w:pStyle w:val="Listenabsatz"/>
        <w:numPr>
          <w:ilvl w:val="0"/>
          <w:numId w:val="22"/>
        </w:numPr>
        <w:rPr>
          <w:b/>
          <w:lang w:eastAsia="de-DE"/>
        </w:rPr>
      </w:pPr>
      <w:r w:rsidRPr="0061329F">
        <w:t>further develop</w:t>
      </w:r>
      <w:r>
        <w:t>ed</w:t>
      </w:r>
      <w:r w:rsidRPr="0061329F">
        <w:t xml:space="preserve"> management proposals for the implementation of the Breeding Bird Action Plan</w:t>
      </w:r>
      <w:r>
        <w:t>.</w:t>
      </w:r>
    </w:p>
    <w:p w14:paraId="4BA99BEB" w14:textId="77777777" w:rsidR="006E2B74" w:rsidRDefault="006E2B74" w:rsidP="006E2B74">
      <w:pPr>
        <w:pStyle w:val="Header3"/>
        <w:rPr>
          <w:lang w:eastAsia="de-DE"/>
        </w:rPr>
      </w:pPr>
      <w:r>
        <w:rPr>
          <w:lang w:eastAsia="de-DE"/>
        </w:rPr>
        <w:t>Composition/Members</w:t>
      </w:r>
    </w:p>
    <w:p w14:paraId="44CF5DBD" w14:textId="77777777" w:rsidR="006E2B74" w:rsidRDefault="006E2B74" w:rsidP="006E2B74">
      <w:pPr>
        <w:pStyle w:val="Textkrper1"/>
        <w:rPr>
          <w:lang w:eastAsia="de-DE"/>
        </w:rPr>
      </w:pPr>
      <w:r>
        <w:rPr>
          <w:lang w:eastAsia="de-DE"/>
        </w:rPr>
        <w:t xml:space="preserve">2-4 persons per region (NL, LS, HH, SH, DK) responsible for organizational and technical aspects of monitoring at the national level. </w:t>
      </w:r>
    </w:p>
    <w:p w14:paraId="624BED8E" w14:textId="77777777" w:rsidR="006E2B74" w:rsidRDefault="006E2B74" w:rsidP="006E2B74">
      <w:pPr>
        <w:pStyle w:val="Header3"/>
        <w:rPr>
          <w:lang w:eastAsia="de-DE"/>
        </w:rPr>
      </w:pPr>
      <w:r>
        <w:rPr>
          <w:lang w:eastAsia="de-DE"/>
        </w:rPr>
        <w:t>Time schedule</w:t>
      </w:r>
    </w:p>
    <w:p w14:paraId="15E54EE2" w14:textId="77777777" w:rsidR="006E2B74" w:rsidRPr="00B64F3F" w:rsidRDefault="006E2B74" w:rsidP="006E2B74">
      <w:pPr>
        <w:pStyle w:val="Header3"/>
        <w:rPr>
          <w:rFonts w:ascii="Times New Roman" w:hAnsi="Times New Roman" w:cs="Times New Roman"/>
          <w:b w:val="0"/>
          <w:lang w:eastAsia="de-DE"/>
        </w:rPr>
      </w:pPr>
      <w:r>
        <w:rPr>
          <w:rFonts w:ascii="Times New Roman" w:hAnsi="Times New Roman" w:cs="Times New Roman"/>
          <w:b w:val="0"/>
          <w:lang w:eastAsia="de-DE"/>
        </w:rPr>
        <w:t>Permanent</w:t>
      </w:r>
    </w:p>
    <w:p w14:paraId="190FF5F7" w14:textId="77777777" w:rsidR="006E2B74" w:rsidRPr="000769E9" w:rsidRDefault="006E2B74" w:rsidP="006E2B74">
      <w:pPr>
        <w:pStyle w:val="Textkrper1"/>
      </w:pPr>
    </w:p>
    <w:p w14:paraId="145BD19C" w14:textId="77777777" w:rsidR="006E2B74" w:rsidRDefault="006E2B74" w:rsidP="006E2B74">
      <w:r>
        <w:br w:type="page"/>
      </w:r>
    </w:p>
    <w:p w14:paraId="02420F73" w14:textId="24AD5605" w:rsidR="006E2B74" w:rsidRPr="00827078" w:rsidRDefault="006E2B74" w:rsidP="00406951">
      <w:pPr>
        <w:pStyle w:val="berschrift1"/>
        <w:numPr>
          <w:ilvl w:val="0"/>
          <w:numId w:val="35"/>
        </w:numPr>
      </w:pPr>
      <w:r w:rsidRPr="000133C7">
        <w:lastRenderedPageBreak/>
        <w:t>Expert Group Salt Marsh</w:t>
      </w:r>
      <w:r>
        <w:t>es and</w:t>
      </w:r>
      <w:r w:rsidRPr="00CA2E94">
        <w:t xml:space="preserve"> Dune</w:t>
      </w:r>
      <w:r>
        <w:t>s</w:t>
      </w:r>
      <w:r w:rsidRPr="00CA2E94">
        <w:t xml:space="preserve"> </w:t>
      </w:r>
      <w:r>
        <w:t>(</w:t>
      </w:r>
      <w:r w:rsidRPr="00CA2E94">
        <w:t>E</w:t>
      </w:r>
      <w:r w:rsidRPr="00827078">
        <w:t>G-S</w:t>
      </w:r>
      <w:r>
        <w:t>MD)</w:t>
      </w:r>
    </w:p>
    <w:p w14:paraId="3B577356" w14:textId="77777777" w:rsidR="006E2B74" w:rsidRDefault="006E2B74" w:rsidP="006E2B74">
      <w:pPr>
        <w:pStyle w:val="Header1centred"/>
      </w:pPr>
      <w:r>
        <w:t>Terms of Reference</w:t>
      </w:r>
    </w:p>
    <w:p w14:paraId="24F08BCE" w14:textId="77777777" w:rsidR="006E2B74" w:rsidRDefault="006E2B74" w:rsidP="006E2B74">
      <w:pPr>
        <w:rPr>
          <w:lang w:eastAsia="de-DE"/>
        </w:rPr>
      </w:pPr>
    </w:p>
    <w:p w14:paraId="3B3014FC" w14:textId="77777777" w:rsidR="006E2B74" w:rsidRDefault="006E2B74" w:rsidP="006E2B74">
      <w:pPr>
        <w:pStyle w:val="Header3"/>
        <w:rPr>
          <w:lang w:eastAsia="de-DE"/>
        </w:rPr>
      </w:pPr>
      <w:r>
        <w:rPr>
          <w:lang w:eastAsia="de-DE"/>
        </w:rPr>
        <w:t>Background</w:t>
      </w:r>
    </w:p>
    <w:p w14:paraId="3EA1D566" w14:textId="19391A30" w:rsidR="006E2B74" w:rsidRDefault="006E2B74" w:rsidP="006E2B74">
      <w:pPr>
        <w:pStyle w:val="Textkrper1"/>
        <w:rPr>
          <w:lang w:eastAsia="de-DE"/>
        </w:rPr>
      </w:pPr>
      <w:r>
        <w:rPr>
          <w:lang w:eastAsia="de-DE"/>
        </w:rPr>
        <w:t xml:space="preserve">Salt marshes and dunes are characteristic and vital parts of the Wadden Sea ecosystem. Both habitats are important for biodiversity, nature conservation and coastal protection. The </w:t>
      </w:r>
      <w:r w:rsidR="00410F47">
        <w:rPr>
          <w:lang w:eastAsia="de-DE"/>
        </w:rPr>
        <w:t xml:space="preserve">Expert Group </w:t>
      </w:r>
      <w:r>
        <w:rPr>
          <w:lang w:eastAsia="de-DE"/>
        </w:rPr>
        <w:t xml:space="preserve">Salt Marsh and Dune is responsible for coordinating the trilateral monitoring and assessment needed to evaluate the implementation of the Targets of the Wadden Sea Plan. </w:t>
      </w:r>
      <w:r w:rsidRPr="00BE5FA0">
        <w:t xml:space="preserve">The </w:t>
      </w:r>
      <w:r w:rsidR="00410F47" w:rsidRPr="00BE5FA0">
        <w:t xml:space="preserve">Expert Group </w:t>
      </w:r>
      <w:r w:rsidRPr="00BE5FA0">
        <w:t xml:space="preserve">Salt Marsh and Dunes will report to </w:t>
      </w:r>
      <w:r>
        <w:t>CWSS and to TG-M</w:t>
      </w:r>
      <w:r w:rsidR="00410F47">
        <w:t>A</w:t>
      </w:r>
      <w:r>
        <w:t xml:space="preserve"> if appropriate.</w:t>
      </w:r>
    </w:p>
    <w:p w14:paraId="61847954" w14:textId="77777777" w:rsidR="006E2B74" w:rsidRDefault="006E2B74" w:rsidP="006E2B74">
      <w:pPr>
        <w:pStyle w:val="Textkrper1"/>
        <w:rPr>
          <w:lang w:eastAsia="de-DE"/>
        </w:rPr>
      </w:pPr>
    </w:p>
    <w:p w14:paraId="322F6C19" w14:textId="77777777" w:rsidR="006E2B74" w:rsidRDefault="006E2B74" w:rsidP="006E2B74">
      <w:pPr>
        <w:pStyle w:val="Header3"/>
        <w:rPr>
          <w:lang w:eastAsia="de-DE"/>
        </w:rPr>
      </w:pPr>
      <w:r>
        <w:rPr>
          <w:lang w:eastAsia="de-DE"/>
        </w:rPr>
        <w:t>Objectives</w:t>
      </w:r>
    </w:p>
    <w:p w14:paraId="6052DA17" w14:textId="77777777" w:rsidR="006E2B74" w:rsidRPr="001A2D96" w:rsidRDefault="006E2B74" w:rsidP="006E2B74">
      <w:pPr>
        <w:pStyle w:val="Header3"/>
        <w:rPr>
          <w:rFonts w:ascii="Times New Roman" w:hAnsi="Times New Roman" w:cs="Times New Roman"/>
          <w:b w:val="0"/>
          <w:lang w:eastAsia="de-DE"/>
        </w:rPr>
      </w:pPr>
      <w:r>
        <w:rPr>
          <w:rFonts w:ascii="Times New Roman" w:hAnsi="Times New Roman" w:cs="Times New Roman"/>
          <w:b w:val="0"/>
          <w:lang w:eastAsia="de-DE"/>
        </w:rPr>
        <w:t>Promote the m</w:t>
      </w:r>
      <w:r w:rsidRPr="001A2D96">
        <w:rPr>
          <w:rFonts w:ascii="Times New Roman" w:hAnsi="Times New Roman" w:cs="Times New Roman"/>
          <w:b w:val="0"/>
          <w:lang w:eastAsia="de-DE"/>
        </w:rPr>
        <w:t xml:space="preserve">aintaining </w:t>
      </w:r>
      <w:r>
        <w:rPr>
          <w:rFonts w:ascii="Times New Roman" w:hAnsi="Times New Roman" w:cs="Times New Roman"/>
          <w:b w:val="0"/>
          <w:lang w:eastAsia="de-DE"/>
        </w:rPr>
        <w:t xml:space="preserve">of </w:t>
      </w:r>
      <w:r w:rsidRPr="001A2D96">
        <w:rPr>
          <w:rFonts w:ascii="Times New Roman" w:hAnsi="Times New Roman" w:cs="Times New Roman"/>
          <w:b w:val="0"/>
          <w:lang w:eastAsia="de-DE"/>
        </w:rPr>
        <w:t>the full</w:t>
      </w:r>
      <w:r>
        <w:rPr>
          <w:rFonts w:ascii="Times New Roman" w:hAnsi="Times New Roman" w:cs="Times New Roman"/>
          <w:b w:val="0"/>
          <w:lang w:eastAsia="de-DE"/>
        </w:rPr>
        <w:t xml:space="preserve"> </w:t>
      </w:r>
      <w:r w:rsidRPr="001A2D96">
        <w:rPr>
          <w:rFonts w:ascii="Times New Roman" w:hAnsi="Times New Roman" w:cs="Times New Roman"/>
          <w:b w:val="0"/>
          <w:lang w:eastAsia="de-DE"/>
        </w:rPr>
        <w:t xml:space="preserve">range of variety of salt marshes and dune areas typical for the Wadden Sea landscape with increasing overall areas, natural dynamics and species richness. </w:t>
      </w:r>
    </w:p>
    <w:p w14:paraId="65858A7B" w14:textId="77777777" w:rsidR="006E2B74" w:rsidRDefault="006E2B74" w:rsidP="006E2B74">
      <w:pPr>
        <w:pStyle w:val="Header3"/>
        <w:rPr>
          <w:lang w:eastAsia="de-DE"/>
        </w:rPr>
      </w:pPr>
      <w:r>
        <w:rPr>
          <w:lang w:eastAsia="de-DE"/>
        </w:rPr>
        <w:t>Tasks</w:t>
      </w:r>
    </w:p>
    <w:p w14:paraId="4F1E80A0" w14:textId="77777777" w:rsidR="006E2B74" w:rsidRPr="008A0EF2" w:rsidRDefault="006E2B74" w:rsidP="006E2B74">
      <w:pPr>
        <w:pStyle w:val="Listenabsatz"/>
        <w:numPr>
          <w:ilvl w:val="0"/>
          <w:numId w:val="34"/>
        </w:numPr>
        <w:ind w:left="709" w:hanging="425"/>
      </w:pPr>
      <w:r w:rsidRPr="008A0EF2">
        <w:t>apply, and further develop salt marsh and dune parameters for a consistent trilateral  monitoring and assessment (TMAP) and support their implementation;</w:t>
      </w:r>
    </w:p>
    <w:p w14:paraId="60396233" w14:textId="77777777" w:rsidR="006E2B74" w:rsidRPr="008A0EF2" w:rsidRDefault="006E2B74" w:rsidP="006E2B74">
      <w:pPr>
        <w:pStyle w:val="Listenabsatz"/>
        <w:numPr>
          <w:ilvl w:val="0"/>
          <w:numId w:val="34"/>
        </w:numPr>
        <w:ind w:left="709" w:hanging="425"/>
      </w:pPr>
      <w:r w:rsidRPr="008A0EF2">
        <w:t xml:space="preserve">develop and implement a document (Handbook) about the methods and parameters applied for salt marsh and dune monitoring in the Trilateral Wadden Sea; </w:t>
      </w:r>
    </w:p>
    <w:p w14:paraId="147923D5" w14:textId="77777777" w:rsidR="006E2B74" w:rsidRPr="008A0EF2" w:rsidRDefault="006E2B74" w:rsidP="006E2B74">
      <w:pPr>
        <w:pStyle w:val="Listenabsatz"/>
        <w:numPr>
          <w:ilvl w:val="0"/>
          <w:numId w:val="34"/>
        </w:numPr>
        <w:ind w:left="709" w:hanging="425"/>
      </w:pPr>
      <w:r w:rsidRPr="008A0EF2">
        <w:t>assist a scientific assessment of the status and development of salt marshes and dunes in regular quality status reporting (QSR) related to the targets of the Wadden Sea Plan;</w:t>
      </w:r>
    </w:p>
    <w:p w14:paraId="06606C0A" w14:textId="77777777" w:rsidR="006E2B74" w:rsidRPr="008A0EF2" w:rsidRDefault="006E2B74" w:rsidP="006E2B74">
      <w:pPr>
        <w:pStyle w:val="Listenabsatz"/>
        <w:numPr>
          <w:ilvl w:val="0"/>
          <w:numId w:val="34"/>
        </w:numPr>
        <w:ind w:left="709" w:hanging="425"/>
      </w:pPr>
      <w:r w:rsidRPr="008A0EF2">
        <w:t>provide consistent information on dunes and salt marshes for TMAP which can be used for international reporting obligations (e.g. UNESCO World Heritage, EC Birds, Habitats and Water Framework Directives);</w:t>
      </w:r>
    </w:p>
    <w:p w14:paraId="3C1D5DF3" w14:textId="77777777" w:rsidR="006E2B74" w:rsidRPr="008A0EF2" w:rsidRDefault="006E2B74" w:rsidP="006E2B74">
      <w:pPr>
        <w:pStyle w:val="Listenabsatz"/>
        <w:numPr>
          <w:ilvl w:val="0"/>
          <w:numId w:val="34"/>
        </w:numPr>
        <w:ind w:left="709" w:hanging="425"/>
      </w:pPr>
      <w:r w:rsidRPr="008A0EF2">
        <w:t>advise national authorities to implement the TMAP salt marsh and dune monitoring programme on a trilateral level;</w:t>
      </w:r>
    </w:p>
    <w:p w14:paraId="4DAA1475" w14:textId="77777777" w:rsidR="006E2B74" w:rsidRPr="008A0EF2" w:rsidRDefault="006E2B74" w:rsidP="006E2B74">
      <w:pPr>
        <w:pStyle w:val="Listenabsatz"/>
        <w:numPr>
          <w:ilvl w:val="0"/>
          <w:numId w:val="34"/>
        </w:numPr>
        <w:ind w:left="709" w:hanging="425"/>
      </w:pPr>
      <w:r w:rsidRPr="008A0EF2">
        <w:t>further enhance the comparability of existing monitoring and assessment programs in the framework of TMAP for a trilateral assessment of the entire Wadden Sea area;</w:t>
      </w:r>
    </w:p>
    <w:p w14:paraId="10DFBCE6" w14:textId="77777777" w:rsidR="006E2B74" w:rsidRPr="008A0EF2" w:rsidRDefault="006E2B74" w:rsidP="006E2B74">
      <w:pPr>
        <w:pStyle w:val="Listenabsatz"/>
        <w:numPr>
          <w:ilvl w:val="0"/>
          <w:numId w:val="34"/>
        </w:numPr>
        <w:ind w:left="709" w:hanging="425"/>
      </w:pPr>
      <w:r w:rsidRPr="008A0EF2">
        <w:t>propose parameters about sedimentation and accretion for TMAP monitoring as basis for an assessment of salt marsh resilience in times of sea level rise;</w:t>
      </w:r>
    </w:p>
    <w:p w14:paraId="725E88B6" w14:textId="77777777" w:rsidR="006E2B74" w:rsidRPr="008A0EF2" w:rsidRDefault="006E2B74" w:rsidP="006E2B74">
      <w:pPr>
        <w:pStyle w:val="Listenabsatz"/>
        <w:numPr>
          <w:ilvl w:val="0"/>
          <w:numId w:val="34"/>
        </w:numPr>
        <w:ind w:left="709" w:hanging="425"/>
      </w:pPr>
      <w:r w:rsidRPr="008A0EF2">
        <w:t>develop a harmonized method to add geomorphological information to the TMAP salt marsh and dune typology;</w:t>
      </w:r>
    </w:p>
    <w:p w14:paraId="2FAFA10F" w14:textId="77777777" w:rsidR="006E2B74" w:rsidRPr="008A0EF2" w:rsidRDefault="006E2B74" w:rsidP="006E2B74">
      <w:pPr>
        <w:pStyle w:val="Listenabsatz"/>
        <w:numPr>
          <w:ilvl w:val="0"/>
          <w:numId w:val="34"/>
        </w:numPr>
        <w:ind w:left="709" w:hanging="425"/>
      </w:pPr>
      <w:r w:rsidRPr="008A0EF2">
        <w:t xml:space="preserve">assist on the update of the Quality Status Report chapters on salt marshes and dunes; </w:t>
      </w:r>
    </w:p>
    <w:p w14:paraId="7FC2887F" w14:textId="752C5665" w:rsidR="006E2B74" w:rsidRPr="008A0EF2" w:rsidRDefault="006E2B74" w:rsidP="006E2B74">
      <w:pPr>
        <w:pStyle w:val="Listenabsatz"/>
        <w:numPr>
          <w:ilvl w:val="0"/>
          <w:numId w:val="34"/>
        </w:numPr>
        <w:ind w:left="709" w:hanging="425"/>
      </w:pPr>
      <w:r w:rsidRPr="008A0EF2">
        <w:t xml:space="preserve">support authorities to improve the management and conservation of salt marshes and dunes in the Wadden Sea area in order to implement the </w:t>
      </w:r>
      <w:r>
        <w:t>t</w:t>
      </w:r>
      <w:r w:rsidRPr="008A0EF2">
        <w:t>argets of the W</w:t>
      </w:r>
      <w:r>
        <w:t xml:space="preserve">adden </w:t>
      </w:r>
      <w:r w:rsidRPr="008A0EF2">
        <w:t>S</w:t>
      </w:r>
      <w:r>
        <w:t xml:space="preserve">ea </w:t>
      </w:r>
      <w:r w:rsidRPr="008A0EF2">
        <w:t>P</w:t>
      </w:r>
      <w:r w:rsidR="00545920">
        <w:t>lan</w:t>
      </w:r>
      <w:r w:rsidRPr="008A0EF2">
        <w:t>;</w:t>
      </w:r>
    </w:p>
    <w:p w14:paraId="64FB7E59" w14:textId="77777777" w:rsidR="006E2B74" w:rsidRPr="008A0EF2" w:rsidRDefault="006E2B74" w:rsidP="006E2B74">
      <w:pPr>
        <w:pStyle w:val="Listenabsatz"/>
        <w:numPr>
          <w:ilvl w:val="0"/>
          <w:numId w:val="34"/>
        </w:numPr>
        <w:ind w:left="709" w:hanging="425"/>
      </w:pPr>
      <w:r w:rsidRPr="008A0EF2">
        <w:t xml:space="preserve">stimulate research projects on salt marshes and dunes related to the </w:t>
      </w:r>
      <w:r>
        <w:t>t</w:t>
      </w:r>
      <w:r w:rsidRPr="008A0EF2">
        <w:t xml:space="preserve">argets of the </w:t>
      </w:r>
      <w:r>
        <w:t>WSP;</w:t>
      </w:r>
    </w:p>
    <w:p w14:paraId="1F2B133F" w14:textId="77777777" w:rsidR="006E2B74" w:rsidRPr="008A0EF2" w:rsidRDefault="006E2B74" w:rsidP="006E2B74">
      <w:pPr>
        <w:pStyle w:val="Listenabsatz"/>
        <w:numPr>
          <w:ilvl w:val="0"/>
          <w:numId w:val="34"/>
        </w:numPr>
        <w:ind w:left="709" w:hanging="425"/>
      </w:pPr>
      <w:r w:rsidRPr="008A0EF2">
        <w:t>strengthen the cooperation with other TMAP expert groups dealing with e.g. breeding birds, invasive species, coastal protection and sea level rise;</w:t>
      </w:r>
    </w:p>
    <w:p w14:paraId="528E157A" w14:textId="77777777" w:rsidR="006E2B74" w:rsidRPr="008A0EF2" w:rsidRDefault="006E2B74" w:rsidP="006E2B74">
      <w:pPr>
        <w:pStyle w:val="Listenabsatz"/>
        <w:numPr>
          <w:ilvl w:val="0"/>
          <w:numId w:val="34"/>
        </w:numPr>
        <w:ind w:left="709" w:hanging="425"/>
      </w:pPr>
      <w:r w:rsidRPr="008A0EF2">
        <w:lastRenderedPageBreak/>
        <w:t>provide monitoring data on salt marshes and dunes to a common trilateral database for use for QSRs and for research not directly related to TMAP;</w:t>
      </w:r>
    </w:p>
    <w:p w14:paraId="2FDACF00" w14:textId="77777777" w:rsidR="006E2B74" w:rsidRPr="008A0EF2" w:rsidRDefault="006E2B74" w:rsidP="006E2B74">
      <w:pPr>
        <w:pStyle w:val="Listenabsatz"/>
        <w:numPr>
          <w:ilvl w:val="0"/>
          <w:numId w:val="34"/>
        </w:numPr>
        <w:ind w:left="709" w:hanging="425"/>
      </w:pPr>
      <w:r w:rsidRPr="008A0EF2">
        <w:t>identify the similarities and differences regarding monitoring, reporting and assessment procedures on salt marshes and dunes in the relevant EU directives among states and countries.</w:t>
      </w:r>
    </w:p>
    <w:p w14:paraId="62B967CA" w14:textId="77777777" w:rsidR="006E2B74" w:rsidRDefault="006E2B74" w:rsidP="006E2B74">
      <w:pPr>
        <w:pStyle w:val="Header3"/>
        <w:rPr>
          <w:lang w:eastAsia="de-DE"/>
        </w:rPr>
      </w:pPr>
      <w:r>
        <w:rPr>
          <w:lang w:eastAsia="de-DE"/>
        </w:rPr>
        <w:t>Deliverables</w:t>
      </w:r>
    </w:p>
    <w:p w14:paraId="7DCF9382" w14:textId="6A4BF1B8" w:rsidR="006E2B74" w:rsidRDefault="006E2B74" w:rsidP="006E2B74">
      <w:pPr>
        <w:pStyle w:val="Listenabsatz"/>
        <w:numPr>
          <w:ilvl w:val="0"/>
          <w:numId w:val="23"/>
        </w:numPr>
        <w:rPr>
          <w:lang w:eastAsia="de-DE"/>
        </w:rPr>
      </w:pPr>
      <w:r w:rsidRPr="003B4885">
        <w:rPr>
          <w:lang w:eastAsia="de-DE"/>
        </w:rPr>
        <w:t>work program</w:t>
      </w:r>
      <w:r w:rsidR="00BF041F">
        <w:rPr>
          <w:lang w:eastAsia="de-DE"/>
        </w:rPr>
        <w:t>me</w:t>
      </w:r>
      <w:r w:rsidRPr="003B4885">
        <w:rPr>
          <w:lang w:eastAsia="de-DE"/>
        </w:rPr>
        <w:t xml:space="preserve"> </w:t>
      </w:r>
      <w:r>
        <w:rPr>
          <w:lang w:eastAsia="de-DE"/>
        </w:rPr>
        <w:t>2019</w:t>
      </w:r>
      <w:r w:rsidRPr="003B4885">
        <w:rPr>
          <w:lang w:eastAsia="de-DE"/>
        </w:rPr>
        <w:t>-2022</w:t>
      </w:r>
      <w:r w:rsidR="0058632E">
        <w:rPr>
          <w:lang w:eastAsia="de-DE"/>
        </w:rPr>
        <w:t>;</w:t>
      </w:r>
    </w:p>
    <w:p w14:paraId="1F5AEE58" w14:textId="3D02C4EC" w:rsidR="006E2B74" w:rsidRDefault="006E2B74" w:rsidP="006E2B74">
      <w:pPr>
        <w:pStyle w:val="Listenabsatz"/>
        <w:numPr>
          <w:ilvl w:val="0"/>
          <w:numId w:val="23"/>
        </w:numPr>
        <w:rPr>
          <w:lang w:eastAsia="de-DE"/>
        </w:rPr>
      </w:pPr>
      <w:r w:rsidRPr="0061329F">
        <w:t>parameters about sedimentation and accretion for TMAP monitoring</w:t>
      </w:r>
      <w:r w:rsidR="0058632E">
        <w:t>;</w:t>
      </w:r>
    </w:p>
    <w:p w14:paraId="7E767337" w14:textId="124AB1EE" w:rsidR="006E2B74" w:rsidRDefault="006E2B74" w:rsidP="006E2B74">
      <w:pPr>
        <w:pStyle w:val="Listenabsatz"/>
        <w:numPr>
          <w:ilvl w:val="0"/>
          <w:numId w:val="23"/>
        </w:numPr>
        <w:rPr>
          <w:lang w:eastAsia="de-DE"/>
        </w:rPr>
      </w:pPr>
      <w:r>
        <w:rPr>
          <w:lang w:eastAsia="de-DE"/>
        </w:rPr>
        <w:t>updated handbook section</w:t>
      </w:r>
      <w:r w:rsidR="0058632E">
        <w:rPr>
          <w:lang w:eastAsia="de-DE"/>
        </w:rPr>
        <w:t>;</w:t>
      </w:r>
    </w:p>
    <w:p w14:paraId="212F0F9A" w14:textId="476A8255" w:rsidR="006E2B74" w:rsidRDefault="006E2B74" w:rsidP="006E2B74">
      <w:pPr>
        <w:pStyle w:val="Listenabsatz"/>
        <w:numPr>
          <w:ilvl w:val="0"/>
          <w:numId w:val="23"/>
        </w:numPr>
        <w:rPr>
          <w:lang w:eastAsia="de-DE"/>
        </w:rPr>
      </w:pPr>
      <w:r w:rsidRPr="0061329F">
        <w:t>harmonized method to add geomorphological information to the TMAP salt marsh and dune typology</w:t>
      </w:r>
      <w:r w:rsidR="0058632E">
        <w:t>;</w:t>
      </w:r>
    </w:p>
    <w:p w14:paraId="25763BEC" w14:textId="547EABEC" w:rsidR="006E2B74" w:rsidRPr="003B4885" w:rsidRDefault="006E2B74" w:rsidP="006E2B74">
      <w:pPr>
        <w:pStyle w:val="Listenabsatz"/>
        <w:numPr>
          <w:ilvl w:val="0"/>
          <w:numId w:val="23"/>
        </w:numPr>
        <w:rPr>
          <w:lang w:eastAsia="de-DE"/>
        </w:rPr>
      </w:pPr>
      <w:r w:rsidRPr="0061329F">
        <w:t>update</w:t>
      </w:r>
      <w:r>
        <w:t>d QSR Thematic Report</w:t>
      </w:r>
      <w:r w:rsidRPr="0061329F">
        <w:t xml:space="preserve"> on salt marshes and dunes</w:t>
      </w:r>
      <w:r w:rsidR="0058632E">
        <w:t>.</w:t>
      </w:r>
    </w:p>
    <w:p w14:paraId="43E59052" w14:textId="77777777" w:rsidR="006E2B74" w:rsidRDefault="006E2B74" w:rsidP="006E2B74">
      <w:pPr>
        <w:pStyle w:val="Header3"/>
        <w:rPr>
          <w:lang w:eastAsia="de-DE"/>
        </w:rPr>
      </w:pPr>
      <w:r>
        <w:rPr>
          <w:lang w:eastAsia="de-DE"/>
        </w:rPr>
        <w:t>Composition/Members</w:t>
      </w:r>
    </w:p>
    <w:p w14:paraId="58DE6D7C" w14:textId="77777777" w:rsidR="006E2B74" w:rsidRDefault="006E2B74" w:rsidP="006E2B74">
      <w:pPr>
        <w:pStyle w:val="Textkrper1"/>
        <w:numPr>
          <w:ilvl w:val="0"/>
          <w:numId w:val="29"/>
        </w:numPr>
        <w:rPr>
          <w:lang w:eastAsia="de-DE"/>
        </w:rPr>
      </w:pPr>
      <w:r>
        <w:rPr>
          <w:lang w:eastAsia="de-DE"/>
        </w:rPr>
        <w:t>Chairperson plus</w:t>
      </w:r>
    </w:p>
    <w:p w14:paraId="681B03C3" w14:textId="77777777" w:rsidR="006E2B74" w:rsidRDefault="006E2B74" w:rsidP="006E2B74">
      <w:pPr>
        <w:pStyle w:val="Textkrper1"/>
        <w:numPr>
          <w:ilvl w:val="0"/>
          <w:numId w:val="29"/>
        </w:numPr>
        <w:rPr>
          <w:lang w:eastAsia="de-DE"/>
        </w:rPr>
      </w:pPr>
      <w:r>
        <w:rPr>
          <w:lang w:eastAsia="de-DE"/>
        </w:rPr>
        <w:t>1-2 member per region (NL, LS, HH, SH, DK) dealing with monitoring of salt marshes and/or dunes in the Wadden Sea area and/or are experts on these ecosystems</w:t>
      </w:r>
      <w:r w:rsidRPr="002A5162">
        <w:rPr>
          <w:lang w:eastAsia="de-DE"/>
        </w:rPr>
        <w:t xml:space="preserve"> </w:t>
      </w:r>
      <w:r>
        <w:rPr>
          <w:lang w:eastAsia="de-DE"/>
        </w:rPr>
        <w:t xml:space="preserve">and </w:t>
      </w:r>
      <w:r w:rsidRPr="00B760BD">
        <w:rPr>
          <w:lang w:eastAsia="de-DE"/>
        </w:rPr>
        <w:t xml:space="preserve">not excluding additional private scientific consultants. </w:t>
      </w:r>
    </w:p>
    <w:p w14:paraId="6F6C483F" w14:textId="77777777" w:rsidR="006E2B74" w:rsidRDefault="006E2B74" w:rsidP="006E2B74">
      <w:pPr>
        <w:pStyle w:val="Header3"/>
        <w:rPr>
          <w:lang w:eastAsia="de-DE"/>
        </w:rPr>
      </w:pPr>
      <w:r>
        <w:rPr>
          <w:lang w:eastAsia="de-DE"/>
        </w:rPr>
        <w:t>Time schedule</w:t>
      </w:r>
    </w:p>
    <w:p w14:paraId="281C951F" w14:textId="77777777" w:rsidR="006E2B74" w:rsidRPr="000769E9" w:rsidRDefault="006E2B74" w:rsidP="006E2B74">
      <w:pPr>
        <w:pStyle w:val="Textkrper1"/>
      </w:pPr>
      <w:r>
        <w:rPr>
          <w:lang w:eastAsia="de-DE"/>
        </w:rPr>
        <w:t>Permanent.</w:t>
      </w:r>
    </w:p>
    <w:p w14:paraId="6B918007" w14:textId="77777777" w:rsidR="006E2B74" w:rsidRDefault="006E2B74" w:rsidP="006E2B74">
      <w:r>
        <w:br w:type="page"/>
      </w:r>
    </w:p>
    <w:p w14:paraId="24486337" w14:textId="77777777" w:rsidR="006E2B74" w:rsidRPr="000769E9" w:rsidRDefault="006E2B74" w:rsidP="00406951">
      <w:pPr>
        <w:pStyle w:val="berschrift1"/>
        <w:numPr>
          <w:ilvl w:val="0"/>
          <w:numId w:val="35"/>
        </w:numPr>
      </w:pPr>
      <w:r w:rsidRPr="002E3365">
        <w:lastRenderedPageBreak/>
        <w:t>Expert Group</w:t>
      </w:r>
      <w:r>
        <w:t xml:space="preserve"> </w:t>
      </w:r>
      <w:r w:rsidRPr="002E3365">
        <w:t>Seal</w:t>
      </w:r>
      <w:r>
        <w:t>s (EG-Seals)</w:t>
      </w:r>
      <w:r w:rsidRPr="00C475C2">
        <w:t xml:space="preserve"> </w:t>
      </w:r>
    </w:p>
    <w:p w14:paraId="0812F3D9" w14:textId="77777777" w:rsidR="006E2B74" w:rsidRDefault="006E2B74" w:rsidP="006E2B74">
      <w:pPr>
        <w:pStyle w:val="Header1centred"/>
      </w:pPr>
      <w:r>
        <w:t>Terms of Reference</w:t>
      </w:r>
    </w:p>
    <w:p w14:paraId="5465511E" w14:textId="77777777" w:rsidR="006E2B74" w:rsidRDefault="006E2B74" w:rsidP="006E2B74">
      <w:pPr>
        <w:pStyle w:val="Header3"/>
      </w:pPr>
    </w:p>
    <w:p w14:paraId="4DE5CCB5" w14:textId="77777777" w:rsidR="006E2B74" w:rsidRDefault="006E2B74" w:rsidP="006E2B74">
      <w:pPr>
        <w:pStyle w:val="Header3"/>
        <w:spacing w:after="240"/>
      </w:pPr>
      <w:r>
        <w:t>Background</w:t>
      </w:r>
    </w:p>
    <w:p w14:paraId="03EB094F" w14:textId="77777777" w:rsidR="006E2B74" w:rsidRPr="0061329F" w:rsidRDefault="006E2B74" w:rsidP="006E2B74">
      <w:r>
        <w:t>The Wadden Sea is a habitat for two seal species, the harbour seal and the grey seal. In the framework of the Trilateral Wadden Sea Cooperation, the conservation and management of the Wadden Sea seal populations is of high importance. The group reports to CWSS and to the secretariat of</w:t>
      </w:r>
      <w:r w:rsidRPr="0050604D">
        <w:t xml:space="preserve"> the Convention on the Conservation of Migratory Species of Wild Animals (Bonn Convention</w:t>
      </w:r>
      <w:r>
        <w:t>, CMS</w:t>
      </w:r>
      <w:r w:rsidRPr="0050604D">
        <w:t>)</w:t>
      </w:r>
      <w:r>
        <w:t xml:space="preserve"> through CWSS.</w:t>
      </w:r>
    </w:p>
    <w:p w14:paraId="6AD0CF19" w14:textId="77777777" w:rsidR="006E2B74" w:rsidRPr="008814A9" w:rsidRDefault="006E2B74" w:rsidP="006E2B74">
      <w:pPr>
        <w:pStyle w:val="Header3"/>
      </w:pPr>
      <w:r w:rsidRPr="008814A9">
        <w:t>Objective</w:t>
      </w:r>
    </w:p>
    <w:p w14:paraId="67A5E326" w14:textId="77777777" w:rsidR="006E2B74" w:rsidRDefault="006E2B74" w:rsidP="006E2B74">
      <w:pPr>
        <w:pStyle w:val="Textkrper1"/>
      </w:pPr>
      <w:r>
        <w:t>The EG-Seals is giving advice on the elaboration and implementation of the recent Seal Management Plan and is coordinating, together with CWSS, the trilateral seal monitoring. The activities of the EG-Seals should fulfil the obligations of the Wadden Sea Seals Agreement (WSSA) concluded by Denmark, Germany and the Netherlands under the auspices of CMS.</w:t>
      </w:r>
    </w:p>
    <w:p w14:paraId="62080663" w14:textId="77777777" w:rsidR="006E2B74" w:rsidRDefault="006E2B74" w:rsidP="006E2B74">
      <w:pPr>
        <w:pStyle w:val="Header3"/>
      </w:pPr>
      <w:r w:rsidRPr="008814A9">
        <w:t xml:space="preserve">Tasks </w:t>
      </w:r>
    </w:p>
    <w:p w14:paraId="68E9FF25" w14:textId="77777777" w:rsidR="006E2B74" w:rsidRPr="008814A9" w:rsidRDefault="006E2B74" w:rsidP="006E2B74">
      <w:pPr>
        <w:pStyle w:val="Listenabsatz"/>
        <w:numPr>
          <w:ilvl w:val="0"/>
          <w:numId w:val="14"/>
        </w:numPr>
      </w:pPr>
      <w:r w:rsidRPr="008814A9">
        <w:t>Evaluate the current Conservation and Management Plan</w:t>
      </w:r>
      <w:r w:rsidRPr="0082369C">
        <w:t xml:space="preserve"> </w:t>
      </w:r>
      <w:r>
        <w:t>for the Wadden Sea Seal Population</w:t>
      </w:r>
      <w:r w:rsidRPr="008814A9">
        <w:t xml:space="preserve"> (SMP) and formulate - if necessary, in cooperation with further experts - an outline for the new SMP every five years</w:t>
      </w:r>
      <w:r>
        <w:t>;</w:t>
      </w:r>
    </w:p>
    <w:p w14:paraId="73EE1FF4" w14:textId="77777777" w:rsidR="006E2B74" w:rsidRPr="008814A9" w:rsidRDefault="006E2B74" w:rsidP="006E2B74">
      <w:pPr>
        <w:pStyle w:val="Listenabsatz"/>
      </w:pPr>
      <w:r w:rsidRPr="008814A9">
        <w:t>Coordinate, supervise and execute monitoring activities as identified in the SMP and assess the results</w:t>
      </w:r>
      <w:r>
        <w:t>;</w:t>
      </w:r>
    </w:p>
    <w:p w14:paraId="114CDAF7" w14:textId="77777777" w:rsidR="006E2B74" w:rsidRPr="008814A9" w:rsidRDefault="006E2B74" w:rsidP="006E2B74">
      <w:pPr>
        <w:pStyle w:val="Listenabsatz"/>
      </w:pPr>
      <w:r w:rsidRPr="008814A9">
        <w:t>Formulate concrete plans to achieve the objectives of the SMP, in particular the identified required efforts and objectives</w:t>
      </w:r>
      <w:r>
        <w:t>;</w:t>
      </w:r>
    </w:p>
    <w:p w14:paraId="4C78EB01" w14:textId="77777777" w:rsidR="006E2B74" w:rsidRPr="008814A9" w:rsidRDefault="006E2B74" w:rsidP="006E2B74">
      <w:pPr>
        <w:pStyle w:val="Listenabsatz"/>
      </w:pPr>
      <w:r w:rsidRPr="008814A9">
        <w:t>Elaborate and submit proposals to the responsible authorities to initiate and implement research activities as identified in the SMP and assess relevant research results</w:t>
      </w:r>
      <w:r>
        <w:t>;</w:t>
      </w:r>
    </w:p>
    <w:p w14:paraId="55DC64D2" w14:textId="77777777" w:rsidR="006E2B74" w:rsidRPr="008814A9" w:rsidRDefault="006E2B74" w:rsidP="006E2B74">
      <w:pPr>
        <w:pStyle w:val="Listenabsatz"/>
      </w:pPr>
      <w:r w:rsidRPr="008814A9">
        <w:t>Analyse developments in the harbour and grey seal populations and provide management advice to the responsible bodies</w:t>
      </w:r>
      <w:r>
        <w:t>;</w:t>
      </w:r>
    </w:p>
    <w:p w14:paraId="0314B5DE" w14:textId="77777777" w:rsidR="006E2B74" w:rsidRPr="008814A9" w:rsidRDefault="006E2B74" w:rsidP="006E2B74">
      <w:pPr>
        <w:pStyle w:val="Listenabsatz"/>
      </w:pPr>
      <w:r w:rsidRPr="008814A9">
        <w:t>Report to the appropriate trilateral body</w:t>
      </w:r>
      <w:r>
        <w:t>.</w:t>
      </w:r>
    </w:p>
    <w:p w14:paraId="4C91B680" w14:textId="77777777" w:rsidR="006E2B74" w:rsidRDefault="006E2B74" w:rsidP="006E2B74">
      <w:pPr>
        <w:pStyle w:val="Header3"/>
      </w:pPr>
      <w:r>
        <w:t>Deliverables</w:t>
      </w:r>
    </w:p>
    <w:p w14:paraId="0D1336D4" w14:textId="09664112" w:rsidR="006E2B74" w:rsidRPr="0061329F" w:rsidRDefault="006E2B74" w:rsidP="006E2B74">
      <w:pPr>
        <w:pStyle w:val="Listenabsatz"/>
        <w:numPr>
          <w:ilvl w:val="0"/>
          <w:numId w:val="21"/>
        </w:numPr>
      </w:pPr>
      <w:r w:rsidRPr="0061329F">
        <w:t>Annual reports on Harbour seal and Grey Seal counts</w:t>
      </w:r>
      <w:r w:rsidR="0058632E">
        <w:t>;</w:t>
      </w:r>
    </w:p>
    <w:p w14:paraId="352B23D4" w14:textId="26650670" w:rsidR="006E2B74" w:rsidRPr="0061329F" w:rsidRDefault="006E2B74" w:rsidP="006E2B74">
      <w:pPr>
        <w:pStyle w:val="Listenabsatz"/>
      </w:pPr>
      <w:r w:rsidRPr="0061329F">
        <w:t>Progress Reports on the implementation of the work plan</w:t>
      </w:r>
      <w:r w:rsidR="0058632E">
        <w:t>;</w:t>
      </w:r>
      <w:r w:rsidRPr="0061329F">
        <w:t xml:space="preserve"> </w:t>
      </w:r>
    </w:p>
    <w:p w14:paraId="530A5A6D" w14:textId="32C42630" w:rsidR="006E2B74" w:rsidRPr="0061329F" w:rsidRDefault="006E2B74" w:rsidP="006E2B74">
      <w:pPr>
        <w:pStyle w:val="Listenabsatz"/>
      </w:pPr>
      <w:r w:rsidRPr="0061329F">
        <w:t xml:space="preserve">Evaluation of recent </w:t>
      </w:r>
      <w:r>
        <w:t xml:space="preserve">SMP </w:t>
      </w:r>
      <w:r w:rsidRPr="0061329F">
        <w:t>and provide expert advice on the next SMP</w:t>
      </w:r>
      <w:r w:rsidR="0058632E">
        <w:t>;</w:t>
      </w:r>
    </w:p>
    <w:p w14:paraId="4F3BDC57" w14:textId="3E71BFB3" w:rsidR="006E2B74" w:rsidRPr="0061329F" w:rsidRDefault="006E2B74" w:rsidP="006E2B74">
      <w:pPr>
        <w:pStyle w:val="Listenabsatz"/>
      </w:pPr>
      <w:r w:rsidRPr="0061329F">
        <w:t>Draft of Thematic Report on Seals of next Quality Status Report (next QSR tbc)</w:t>
      </w:r>
      <w:r w:rsidR="0058632E">
        <w:t>.</w:t>
      </w:r>
    </w:p>
    <w:p w14:paraId="4680E027" w14:textId="77777777" w:rsidR="006E2B74" w:rsidRDefault="006E2B74" w:rsidP="006E2B74">
      <w:pPr>
        <w:pStyle w:val="Header3"/>
      </w:pPr>
      <w:r>
        <w:t>Composition/Membership</w:t>
      </w:r>
    </w:p>
    <w:p w14:paraId="59241D3F" w14:textId="77777777" w:rsidR="006E2B74" w:rsidRDefault="006E2B74" w:rsidP="006E2B74">
      <w:pPr>
        <w:pStyle w:val="Textkrper1"/>
        <w:numPr>
          <w:ilvl w:val="0"/>
          <w:numId w:val="28"/>
        </w:numPr>
      </w:pPr>
      <w:r>
        <w:t>Chairperson from group or CWSS plus</w:t>
      </w:r>
    </w:p>
    <w:p w14:paraId="5982D500" w14:textId="77777777" w:rsidR="006E2B74" w:rsidRPr="0061329F" w:rsidRDefault="006E2B74" w:rsidP="006E2B74">
      <w:pPr>
        <w:pStyle w:val="Textkrper1"/>
        <w:numPr>
          <w:ilvl w:val="0"/>
          <w:numId w:val="28"/>
        </w:numPr>
      </w:pPr>
      <w:r>
        <w:t xml:space="preserve">1-2 members per region (NL, LS, HH, SH, DK) </w:t>
      </w:r>
      <w:r w:rsidRPr="0061329F">
        <w:t xml:space="preserve">directly or indirectly involved in </w:t>
      </w:r>
      <w:r>
        <w:br/>
        <w:t xml:space="preserve">1) </w:t>
      </w:r>
      <w:r w:rsidRPr="0061329F">
        <w:t>monitoring, management or research on the wild population of harbour and grey seals; 2) members coming from independent scientific organizations or governmental agencies.</w:t>
      </w:r>
    </w:p>
    <w:p w14:paraId="0B32360C" w14:textId="77777777" w:rsidR="006E2B74" w:rsidRPr="00B0252F" w:rsidRDefault="006E2B74" w:rsidP="006E2B74">
      <w:pPr>
        <w:pStyle w:val="Header3"/>
      </w:pPr>
      <w:r w:rsidRPr="00B0252F">
        <w:lastRenderedPageBreak/>
        <w:t>Time schedule</w:t>
      </w:r>
    </w:p>
    <w:p w14:paraId="2050240E" w14:textId="1788DC5D" w:rsidR="006E2B74" w:rsidRDefault="006E2B74" w:rsidP="006E2B74">
      <w:pPr>
        <w:pStyle w:val="Textkrper1"/>
      </w:pPr>
      <w:r>
        <w:t>Permanent</w:t>
      </w:r>
    </w:p>
    <w:p w14:paraId="787A8AC3" w14:textId="73003711" w:rsidR="00BF041F" w:rsidRDefault="00BF041F">
      <w:pPr>
        <w:rPr>
          <w:szCs w:val="22"/>
        </w:rPr>
      </w:pPr>
      <w:r>
        <w:br w:type="page"/>
      </w:r>
    </w:p>
    <w:p w14:paraId="2931415E" w14:textId="77777777" w:rsidR="00B33EC4" w:rsidRPr="000769E9" w:rsidRDefault="00B33EC4" w:rsidP="00406951">
      <w:pPr>
        <w:pStyle w:val="berschrift1"/>
        <w:numPr>
          <w:ilvl w:val="0"/>
          <w:numId w:val="35"/>
        </w:numPr>
      </w:pPr>
      <w:r>
        <w:lastRenderedPageBreak/>
        <w:t>Expert Group</w:t>
      </w:r>
      <w:r w:rsidRPr="002E3365">
        <w:t xml:space="preserve"> Data</w:t>
      </w:r>
      <w:r>
        <w:t xml:space="preserve"> (EG-Data)</w:t>
      </w:r>
    </w:p>
    <w:p w14:paraId="028F04B9" w14:textId="77777777" w:rsidR="00406951" w:rsidRDefault="00406951" w:rsidP="00406951">
      <w:pPr>
        <w:pStyle w:val="Header1centred"/>
        <w:ind w:left="720"/>
      </w:pPr>
      <w:r>
        <w:t>Terms of Reference</w:t>
      </w:r>
    </w:p>
    <w:p w14:paraId="61A58A83" w14:textId="75FE00FC" w:rsidR="00B33EC4" w:rsidRDefault="005E45E5" w:rsidP="00B33EC4">
      <w:pPr>
        <w:pStyle w:val="Textkrper1"/>
      </w:pPr>
      <w:r>
        <w:t xml:space="preserve">As a priority TOR </w:t>
      </w:r>
      <w:r w:rsidR="00B33EC4" w:rsidRPr="00B0252F">
        <w:t xml:space="preserve">for this group </w:t>
      </w:r>
      <w:r w:rsidR="00B33EC4">
        <w:t>will</w:t>
      </w:r>
      <w:r w:rsidR="00B33EC4" w:rsidRPr="00B0252F">
        <w:t xml:space="preserve"> be </w:t>
      </w:r>
      <w:r w:rsidR="00B33EC4">
        <w:t xml:space="preserve">elaborated </w:t>
      </w:r>
      <w:r>
        <w:t xml:space="preserve">in due time </w:t>
      </w:r>
      <w:r w:rsidR="00B33EC4">
        <w:t>by the TG-</w:t>
      </w:r>
      <w:r w:rsidR="00406951">
        <w:t>M</w:t>
      </w:r>
      <w:r w:rsidR="00410F47">
        <w:t>A</w:t>
      </w:r>
      <w:r>
        <w:t>,</w:t>
      </w:r>
      <w:r w:rsidR="00406951">
        <w:t xml:space="preserve"> </w:t>
      </w:r>
      <w:r w:rsidR="00B33EC4">
        <w:t>in close cooperation with TG-M</w:t>
      </w:r>
      <w:r w:rsidR="00601703">
        <w:t xml:space="preserve"> and the nominated experts</w:t>
      </w:r>
      <w:r>
        <w:t xml:space="preserve">, </w:t>
      </w:r>
      <w:r w:rsidRPr="005E45E5">
        <w:t xml:space="preserve">to provide technical advice </w:t>
      </w:r>
      <w:r w:rsidR="00B33EC4" w:rsidRPr="00B0252F">
        <w:t xml:space="preserve">in the course of the development of </w:t>
      </w:r>
      <w:r>
        <w:t>a</w:t>
      </w:r>
      <w:r w:rsidR="00B33EC4" w:rsidRPr="00B0252F">
        <w:t xml:space="preserve"> new </w:t>
      </w:r>
      <w:r>
        <w:t>T</w:t>
      </w:r>
      <w:r w:rsidR="00B33EC4" w:rsidRPr="00B0252F">
        <w:t xml:space="preserve">rilateral </w:t>
      </w:r>
      <w:r>
        <w:t>D</w:t>
      </w:r>
      <w:r w:rsidR="00B33EC4" w:rsidRPr="00B0252F">
        <w:t xml:space="preserve">ata </w:t>
      </w:r>
      <w:r>
        <w:t>S</w:t>
      </w:r>
      <w:r w:rsidR="00B33EC4" w:rsidRPr="00B0252F">
        <w:t>trategy</w:t>
      </w:r>
      <w:r w:rsidR="00B33EC4">
        <w:t xml:space="preserve">. </w:t>
      </w:r>
      <w:r w:rsidR="00B33EC4" w:rsidRPr="0061329F">
        <w:t>The group should consist of technical data experts.</w:t>
      </w:r>
    </w:p>
    <w:p w14:paraId="26BFBBDA" w14:textId="3CB5D91A" w:rsidR="00BF041F" w:rsidRDefault="00BF041F">
      <w:pPr>
        <w:rPr>
          <w:rFonts w:ascii="Arial" w:hAnsi="Arial"/>
          <w:b/>
          <w:lang w:eastAsia="de-DE"/>
        </w:rPr>
      </w:pPr>
      <w:r>
        <w:br w:type="page"/>
      </w:r>
    </w:p>
    <w:p w14:paraId="49D16A6B" w14:textId="77777777" w:rsidR="00B33EC4" w:rsidRPr="000769E9" w:rsidRDefault="00B33EC4" w:rsidP="00406951">
      <w:pPr>
        <w:pStyle w:val="berschrift1"/>
        <w:numPr>
          <w:ilvl w:val="0"/>
          <w:numId w:val="35"/>
        </w:numPr>
      </w:pPr>
      <w:r w:rsidRPr="004F5FAD">
        <w:lastRenderedPageBreak/>
        <w:t xml:space="preserve">Network Group </w:t>
      </w:r>
      <w:r>
        <w:t>Education (NG-E)</w:t>
      </w:r>
    </w:p>
    <w:p w14:paraId="01EC5C8C" w14:textId="242A491B" w:rsidR="00B33EC4" w:rsidRDefault="00B33EC4" w:rsidP="00B33EC4">
      <w:pPr>
        <w:pStyle w:val="Header1centred"/>
      </w:pPr>
      <w:r>
        <w:t>Terms of Reference</w:t>
      </w:r>
    </w:p>
    <w:p w14:paraId="63A72559" w14:textId="77777777" w:rsidR="00B33EC4" w:rsidRDefault="00B33EC4" w:rsidP="00B33EC4">
      <w:pPr>
        <w:pStyle w:val="Textkrper1"/>
        <w:rPr>
          <w:rFonts w:ascii="Arial" w:hAnsi="Arial" w:cs="Arial"/>
          <w:b/>
          <w:lang w:eastAsia="de-DE"/>
        </w:rPr>
      </w:pPr>
    </w:p>
    <w:p w14:paraId="1E50B3E8" w14:textId="77777777" w:rsidR="00B33EC4" w:rsidRPr="002A71CE" w:rsidRDefault="00B33EC4" w:rsidP="00B33EC4">
      <w:pPr>
        <w:pStyle w:val="Textkrper1"/>
        <w:rPr>
          <w:rFonts w:ascii="Arial" w:hAnsi="Arial" w:cs="Arial"/>
          <w:b/>
        </w:rPr>
      </w:pPr>
      <w:r w:rsidRPr="002A71CE">
        <w:rPr>
          <w:rFonts w:ascii="Arial" w:hAnsi="Arial" w:cs="Arial"/>
          <w:b/>
          <w:lang w:eastAsia="de-DE"/>
        </w:rPr>
        <w:t>Background</w:t>
      </w:r>
    </w:p>
    <w:p w14:paraId="19129D55" w14:textId="77777777" w:rsidR="00B33EC4" w:rsidRDefault="00B33EC4" w:rsidP="00B33EC4">
      <w:pPr>
        <w:pStyle w:val="Textkrper1"/>
      </w:pPr>
      <w:r>
        <w:t xml:space="preserve">The joint implementation of the “Wadden Sea Strategy on </w:t>
      </w:r>
      <w:r w:rsidRPr="00BE5FA0">
        <w:rPr>
          <w:rStyle w:val="Hervorhebung"/>
        </w:rPr>
        <w:t>Education for Sustainable Development and World Heritage Interpretation” is an important work theme</w:t>
      </w:r>
      <w:r>
        <w:t xml:space="preserve"> for the Cooperation in the coming period according to the Leeuwarden Declaration (LD para. 6, 7, 8). The work contributes to the World Heritage Strategy (TD para. 5) and the Strategy for Sustainable Tourism in the Wadden Sea World Heritage Destination (TD para. 12), as well as to the aims and objectives of the UNESCO World Heritage Education Programme and Education for Sustainable Development Goals. NG-E reports to TG-WH.</w:t>
      </w:r>
    </w:p>
    <w:p w14:paraId="7A2A7561" w14:textId="77777777" w:rsidR="00B33EC4" w:rsidRDefault="00B33EC4" w:rsidP="00B33EC4">
      <w:pPr>
        <w:pStyle w:val="Header3"/>
      </w:pPr>
      <w:r>
        <w:t>Objective</w:t>
      </w:r>
    </w:p>
    <w:p w14:paraId="49E61096" w14:textId="77777777" w:rsidR="00B33EC4" w:rsidRDefault="00B33EC4" w:rsidP="00B33EC4">
      <w:pPr>
        <w:pStyle w:val="Textkrper1"/>
      </w:pPr>
      <w:r>
        <w:t>Coordinate and oversee, together with the International Wadden Sea School (IWSS) coordinator and CWSS, the implementation of the “Wadden Sea Strategy on Education for Sustainable Development and World Heritage Interpretation” and the trilateral component of the Education Work Programme in a participatory approach with the relevant stakeholders.</w:t>
      </w:r>
    </w:p>
    <w:p w14:paraId="1A171832" w14:textId="77777777" w:rsidR="00B33EC4" w:rsidRDefault="00B33EC4" w:rsidP="00B33EC4">
      <w:pPr>
        <w:pStyle w:val="Header3"/>
      </w:pPr>
      <w:r>
        <w:t>Tasks</w:t>
      </w:r>
    </w:p>
    <w:p w14:paraId="0307F781" w14:textId="77777777" w:rsidR="00B33EC4" w:rsidRDefault="00B33EC4" w:rsidP="00B33EC4">
      <w:pPr>
        <w:pStyle w:val="Numbering"/>
        <w:numPr>
          <w:ilvl w:val="0"/>
          <w:numId w:val="16"/>
        </w:numPr>
      </w:pPr>
      <w:r>
        <w:t>Elaborate a Trilateral Education Work Programme for the implementation of the trilateral tasks of the strategy;</w:t>
      </w:r>
    </w:p>
    <w:p w14:paraId="63AED253" w14:textId="77777777" w:rsidR="00B33EC4" w:rsidRDefault="00B33EC4" w:rsidP="00B33EC4">
      <w:pPr>
        <w:pStyle w:val="Numbering"/>
      </w:pPr>
      <w:r>
        <w:t>Coordinate and oversee the implementation of the Trilateral Education Work Programme plan;</w:t>
      </w:r>
    </w:p>
    <w:p w14:paraId="44C7986A" w14:textId="77777777" w:rsidR="00B33EC4" w:rsidRDefault="00B33EC4" w:rsidP="00B33EC4">
      <w:pPr>
        <w:pStyle w:val="Numbering"/>
      </w:pPr>
      <w:r>
        <w:t>Promote an integrated view on Wadden Sea education in the three countries, including the World Heritage Site, the National Parks and other protected areas, in the context of the Wadden Sea Plan Targets and the trilateral policies;</w:t>
      </w:r>
    </w:p>
    <w:p w14:paraId="382EF852" w14:textId="77777777" w:rsidR="00B33EC4" w:rsidRDefault="00B33EC4" w:rsidP="00B33EC4">
      <w:pPr>
        <w:pStyle w:val="Numbering"/>
      </w:pPr>
      <w:r>
        <w:t xml:space="preserve">Coordinate, provide advice and strengthen the mutual support of the information facilities, e.g. visitor </w:t>
      </w:r>
      <w:proofErr w:type="spellStart"/>
      <w:r>
        <w:t>centers</w:t>
      </w:r>
      <w:proofErr w:type="spellEnd"/>
      <w:r>
        <w:t>, museums and other institutions engaged in Wadden Sea education;</w:t>
      </w:r>
    </w:p>
    <w:p w14:paraId="7CF92525" w14:textId="77777777" w:rsidR="00B33EC4" w:rsidRDefault="00B33EC4" w:rsidP="00B33EC4">
      <w:pPr>
        <w:pStyle w:val="Numbering"/>
        <w:rPr>
          <w:rFonts w:eastAsia="Cambria"/>
          <w:lang w:eastAsia="de-DE"/>
        </w:rPr>
      </w:pPr>
      <w:r>
        <w:t xml:space="preserve">Continue to provide, develop, and ensure in cooperation with associated projects the implementation of trilateral World Heritage products/tools to be used by the visitor </w:t>
      </w:r>
      <w:proofErr w:type="spellStart"/>
      <w:r>
        <w:t>centers</w:t>
      </w:r>
      <w:proofErr w:type="spellEnd"/>
      <w:r>
        <w:t xml:space="preserve"> and other multipliers of Wadden Sea education;</w:t>
      </w:r>
    </w:p>
    <w:p w14:paraId="7D1307F4" w14:textId="77777777" w:rsidR="00B33EC4" w:rsidRDefault="00B33EC4" w:rsidP="00B33EC4">
      <w:pPr>
        <w:pStyle w:val="Numbering"/>
        <w:rPr>
          <w:rFonts w:eastAsia="Calibri"/>
        </w:rPr>
      </w:pPr>
      <w:r>
        <w:t>Discuss and, if feasible, start capacity building activities;</w:t>
      </w:r>
    </w:p>
    <w:p w14:paraId="5E25243C" w14:textId="77777777" w:rsidR="00B33EC4" w:rsidRDefault="00B33EC4" w:rsidP="00B33EC4">
      <w:pPr>
        <w:pStyle w:val="Numbering"/>
        <w:rPr>
          <w:lang w:eastAsia="de-DE"/>
        </w:rPr>
      </w:pPr>
      <w:r>
        <w:rPr>
          <w:lang w:eastAsia="de-DE"/>
        </w:rPr>
        <w:t>Participate in the development of the Partnership Hub;</w:t>
      </w:r>
    </w:p>
    <w:p w14:paraId="51EBF0BB" w14:textId="77777777" w:rsidR="00B33EC4" w:rsidRDefault="00B33EC4" w:rsidP="00B33EC4">
      <w:pPr>
        <w:pStyle w:val="Numbering"/>
        <w:rPr>
          <w:rFonts w:eastAsia="Calibri"/>
        </w:rPr>
      </w:pPr>
      <w:r>
        <w:t>Prepare regular reports on the implementation of the Trilateral Education Work Programme.</w:t>
      </w:r>
    </w:p>
    <w:p w14:paraId="637F1517" w14:textId="77777777" w:rsidR="00B33EC4" w:rsidRDefault="00B33EC4" w:rsidP="00B33EC4">
      <w:pPr>
        <w:pStyle w:val="Header3"/>
      </w:pPr>
      <w:r>
        <w:t>Deliverables</w:t>
      </w:r>
    </w:p>
    <w:p w14:paraId="1D59076C" w14:textId="6BEB36F5" w:rsidR="00B33EC4" w:rsidRPr="00AD48FE" w:rsidRDefault="00B33EC4" w:rsidP="00B33EC4">
      <w:pPr>
        <w:pStyle w:val="Numbering"/>
        <w:numPr>
          <w:ilvl w:val="0"/>
          <w:numId w:val="12"/>
        </w:numPr>
      </w:pPr>
      <w:r w:rsidRPr="00AD48FE">
        <w:t>Trilateral Education Work Programme for the implementation of the trilateral tasks of the “Wadden Sea Strategy on Education for Sustainable Development and World Heritage Interpretation”</w:t>
      </w:r>
      <w:r w:rsidR="0058632E">
        <w:t>;</w:t>
      </w:r>
    </w:p>
    <w:p w14:paraId="7B7E7B92" w14:textId="78FB48AF" w:rsidR="00B33EC4" w:rsidRPr="00AD48FE" w:rsidRDefault="00B33EC4" w:rsidP="00B33EC4">
      <w:pPr>
        <w:pStyle w:val="Numbering"/>
      </w:pPr>
      <w:r w:rsidRPr="00AD48FE">
        <w:t>Annual Progress Reports on the status of the Trilateral Education Work Programme</w:t>
      </w:r>
      <w:r w:rsidR="0058632E">
        <w:t>.</w:t>
      </w:r>
    </w:p>
    <w:p w14:paraId="3E5778DD" w14:textId="01BF6D5C" w:rsidR="00B33EC4" w:rsidRDefault="00B33EC4" w:rsidP="009F4B13">
      <w:pPr>
        <w:pStyle w:val="Header3"/>
        <w:keepNext/>
      </w:pPr>
      <w:r>
        <w:lastRenderedPageBreak/>
        <w:t>Composition</w:t>
      </w:r>
      <w:r w:rsidR="009F4B13">
        <w:t>/Membership</w:t>
      </w:r>
    </w:p>
    <w:p w14:paraId="3CC4949F" w14:textId="77777777" w:rsidR="00B33EC4" w:rsidRPr="00FA025C" w:rsidRDefault="00B33EC4" w:rsidP="00B33EC4">
      <w:pPr>
        <w:pStyle w:val="Textkrper1"/>
        <w:numPr>
          <w:ilvl w:val="0"/>
          <w:numId w:val="30"/>
        </w:numPr>
        <w:rPr>
          <w:rFonts w:eastAsia="Cambria"/>
          <w:lang w:eastAsia="de-DE"/>
        </w:rPr>
      </w:pPr>
      <w:r w:rsidRPr="00AD48FE">
        <w:t xml:space="preserve">IWSS coordinator to chair the group </w:t>
      </w:r>
      <w:r>
        <w:t>with support of CWSS.</w:t>
      </w:r>
    </w:p>
    <w:p w14:paraId="5C866589" w14:textId="77777777" w:rsidR="00B33EC4" w:rsidRPr="00AD48FE" w:rsidRDefault="00B33EC4" w:rsidP="00B33EC4">
      <w:pPr>
        <w:pStyle w:val="Textkrper1"/>
        <w:numPr>
          <w:ilvl w:val="0"/>
          <w:numId w:val="30"/>
        </w:numPr>
      </w:pPr>
      <w:r>
        <w:rPr>
          <w:rFonts w:eastAsia="Cambria"/>
          <w:lang w:eastAsia="de-DE"/>
        </w:rPr>
        <w:t>1-2 members</w:t>
      </w:r>
      <w:r w:rsidRPr="00FA025C">
        <w:rPr>
          <w:rFonts w:eastAsia="Cambria"/>
          <w:lang w:eastAsia="de-DE"/>
        </w:rPr>
        <w:t xml:space="preserve"> of the regional Wadden Sea education networks</w:t>
      </w:r>
      <w:r w:rsidRPr="00AD48FE">
        <w:t xml:space="preserve"> within Denmark, Schleswig-Holstein, Hamburg, Niedersachsen and The Netherlands</w:t>
      </w:r>
      <w:r>
        <w:t>.</w:t>
      </w:r>
    </w:p>
    <w:p w14:paraId="2AF22771" w14:textId="77777777" w:rsidR="00B33EC4" w:rsidRDefault="00B33EC4" w:rsidP="00B33EC4">
      <w:pPr>
        <w:pStyle w:val="Header3"/>
        <w:rPr>
          <w:rFonts w:eastAsia="Calibri"/>
        </w:rPr>
      </w:pPr>
      <w:r>
        <w:t>Time Schedule</w:t>
      </w:r>
    </w:p>
    <w:p w14:paraId="26DFD865" w14:textId="77777777" w:rsidR="00B33EC4" w:rsidRPr="00AD48FE" w:rsidRDefault="00B33EC4" w:rsidP="00B33EC4">
      <w:r>
        <w:t>Permanent</w:t>
      </w:r>
    </w:p>
    <w:p w14:paraId="747D52F6" w14:textId="77777777" w:rsidR="00B33EC4" w:rsidRDefault="00B33EC4" w:rsidP="00B33EC4"/>
    <w:p w14:paraId="089E844C" w14:textId="173571BC" w:rsidR="002A1B5A" w:rsidRDefault="00B33EC4" w:rsidP="00B33EC4">
      <w:r>
        <w:br w:type="page"/>
      </w:r>
    </w:p>
    <w:p w14:paraId="137548BE" w14:textId="7724F1E0" w:rsidR="0065559F" w:rsidRPr="0061329F" w:rsidRDefault="00B0252F" w:rsidP="00406951">
      <w:pPr>
        <w:pStyle w:val="berschrift1"/>
        <w:numPr>
          <w:ilvl w:val="0"/>
          <w:numId w:val="35"/>
        </w:numPr>
        <w:rPr>
          <w:rFonts w:cs="Arial"/>
          <w:szCs w:val="28"/>
        </w:rPr>
      </w:pPr>
      <w:r w:rsidRPr="0061329F">
        <w:lastRenderedPageBreak/>
        <w:t xml:space="preserve">Network </w:t>
      </w:r>
      <w:r w:rsidR="00046F5F" w:rsidRPr="0061329F">
        <w:t xml:space="preserve">Group </w:t>
      </w:r>
      <w:r w:rsidR="002E3365" w:rsidRPr="0061329F">
        <w:t>Sustainable Tourism (</w:t>
      </w:r>
      <w:r w:rsidRPr="0061329F">
        <w:t>NG</w:t>
      </w:r>
      <w:r w:rsidR="002E3365" w:rsidRPr="0061329F">
        <w:t>-ST</w:t>
      </w:r>
      <w:r w:rsidR="00046F5F" w:rsidRPr="0061329F">
        <w:t>)</w:t>
      </w:r>
    </w:p>
    <w:p w14:paraId="63741869" w14:textId="220A9584" w:rsidR="008B32C7" w:rsidRDefault="008B32C7" w:rsidP="00FA025C">
      <w:pPr>
        <w:pStyle w:val="Header1centred"/>
      </w:pPr>
      <w:r>
        <w:t>Terms of Reference</w:t>
      </w:r>
    </w:p>
    <w:p w14:paraId="671DCA30" w14:textId="77777777" w:rsidR="005E46B0" w:rsidRDefault="005E46B0" w:rsidP="00BE5FA0">
      <w:pPr>
        <w:pStyle w:val="Textkrper1"/>
        <w:rPr>
          <w:rFonts w:ascii="Arial" w:hAnsi="Arial" w:cs="Arial"/>
          <w:b/>
          <w:lang w:eastAsia="de-DE"/>
        </w:rPr>
      </w:pPr>
    </w:p>
    <w:p w14:paraId="0CD544D9" w14:textId="5CF61202" w:rsidR="0065559F" w:rsidRPr="00D64B1C" w:rsidRDefault="00D64B1C" w:rsidP="00BE5FA0">
      <w:pPr>
        <w:pStyle w:val="Textkrper1"/>
        <w:rPr>
          <w:rFonts w:ascii="Arial" w:hAnsi="Arial" w:cs="Arial"/>
          <w:b/>
        </w:rPr>
      </w:pPr>
      <w:r w:rsidRPr="00D64B1C">
        <w:rPr>
          <w:rFonts w:ascii="Arial" w:hAnsi="Arial" w:cs="Arial"/>
          <w:b/>
          <w:lang w:eastAsia="de-DE"/>
        </w:rPr>
        <w:t>Background</w:t>
      </w:r>
    </w:p>
    <w:p w14:paraId="6CBEEFC1" w14:textId="1ABFB255" w:rsidR="0065559F" w:rsidRDefault="0065559F" w:rsidP="00BE5FA0">
      <w:pPr>
        <w:pStyle w:val="Textkrper1"/>
      </w:pPr>
      <w:r>
        <w:t>The joint implementation of the strategy on “Sustainable Tourism in the Wadden Sea World Heritage Destination” is an important work theme for the Cooperation in the coming period according to the Leeuwarden Declaration</w:t>
      </w:r>
      <w:r w:rsidR="00CD7521">
        <w:t xml:space="preserve"> </w:t>
      </w:r>
      <w:r>
        <w:t xml:space="preserve">(LD </w:t>
      </w:r>
      <w:r w:rsidR="001A2D96">
        <w:t>para.</w:t>
      </w:r>
      <w:r>
        <w:t xml:space="preserve"> 4). The work contributes to the World Heritage Strategy (TD </w:t>
      </w:r>
      <w:r w:rsidR="001A2D96">
        <w:t>para.</w:t>
      </w:r>
      <w:r>
        <w:t xml:space="preserve"> 5) and the aims and objectives of the World Heritage Convention.</w:t>
      </w:r>
      <w:r w:rsidR="0050604D">
        <w:t xml:space="preserve"> The group reports to CWSS.</w:t>
      </w:r>
    </w:p>
    <w:p w14:paraId="56CA70DF" w14:textId="77777777" w:rsidR="0065559F" w:rsidRDefault="0065559F" w:rsidP="008814A9">
      <w:pPr>
        <w:pStyle w:val="Header3"/>
      </w:pPr>
      <w:r>
        <w:t>Objective</w:t>
      </w:r>
    </w:p>
    <w:p w14:paraId="2F58FA8C" w14:textId="5F6008B2" w:rsidR="0065559F" w:rsidRDefault="0065559F" w:rsidP="00BE5FA0">
      <w:pPr>
        <w:pStyle w:val="Textkrper1"/>
      </w:pPr>
      <w:r>
        <w:t>Coordinate and oversee the implementation of the strategy for sustainable tourism and the action plan in a participatory approach with the relevant stakeholders.</w:t>
      </w:r>
    </w:p>
    <w:p w14:paraId="5CFF2DBA" w14:textId="77777777" w:rsidR="0065559F" w:rsidRDefault="0065559F" w:rsidP="008814A9">
      <w:pPr>
        <w:pStyle w:val="Header3"/>
      </w:pPr>
      <w:r>
        <w:t>Tasks</w:t>
      </w:r>
    </w:p>
    <w:p w14:paraId="448A2345" w14:textId="6738FE40" w:rsidR="0065559F" w:rsidRDefault="0065559F" w:rsidP="0072551F">
      <w:pPr>
        <w:pStyle w:val="Numbering"/>
        <w:numPr>
          <w:ilvl w:val="0"/>
          <w:numId w:val="7"/>
        </w:numPr>
      </w:pPr>
      <w:r>
        <w:t xml:space="preserve">Elaborate an action plan for the implementation of the strategy together with the relevant stakeholders for approval by the </w:t>
      </w:r>
      <w:r w:rsidR="009518A9">
        <w:t>Wadden Sea Board (</w:t>
      </w:r>
      <w:r>
        <w:t>WSB</w:t>
      </w:r>
      <w:r w:rsidR="009518A9">
        <w:t>)</w:t>
      </w:r>
      <w:r w:rsidR="00A0089A">
        <w:t>;</w:t>
      </w:r>
    </w:p>
    <w:p w14:paraId="0277DAB9" w14:textId="47291BDA" w:rsidR="0065559F" w:rsidRDefault="0065559F" w:rsidP="00FA025C">
      <w:pPr>
        <w:pStyle w:val="Numbering"/>
      </w:pPr>
      <w:r>
        <w:t>Coordinate and oversee the implementation both in terms of its contents and financially</w:t>
      </w:r>
      <w:r w:rsidR="00A0089A">
        <w:t>:</w:t>
      </w:r>
    </w:p>
    <w:p w14:paraId="4B0E97B7" w14:textId="7AF2809E" w:rsidR="0065559F" w:rsidRDefault="0065559F" w:rsidP="00FA025C">
      <w:pPr>
        <w:pStyle w:val="Numbering"/>
      </w:pPr>
      <w:r>
        <w:t>Promote and enhance the cooperation between the regions and sec</w:t>
      </w:r>
      <w:r w:rsidR="001906A2">
        <w:t>tor</w:t>
      </w:r>
      <w:r>
        <w:t>s on sustainable tourism including the exchange of relevant information and coordination between regional projects</w:t>
      </w:r>
      <w:r w:rsidR="00A0089A">
        <w:t>;</w:t>
      </w:r>
    </w:p>
    <w:p w14:paraId="09DF1D48" w14:textId="553F635D" w:rsidR="0065559F" w:rsidRDefault="0065559F" w:rsidP="00FA025C">
      <w:pPr>
        <w:pStyle w:val="Numbering"/>
      </w:pPr>
      <w:r>
        <w:t>Ensure coordination with activities in the field of tourism in the context of the World Heritage Convention (ST Programme), sustainable regional development, and with activities of the Task Group World Heritage (TG-WH)</w:t>
      </w:r>
      <w:r w:rsidR="00A0089A">
        <w:t>;</w:t>
      </w:r>
    </w:p>
    <w:p w14:paraId="4F72F672" w14:textId="1A28632E" w:rsidR="0065559F" w:rsidRDefault="0065559F" w:rsidP="00FA025C">
      <w:pPr>
        <w:pStyle w:val="Numbering"/>
      </w:pPr>
      <w:r>
        <w:t xml:space="preserve">Prepare regular reports on the implementation of the strategy for discussion and approval by the </w:t>
      </w:r>
      <w:r w:rsidR="009518A9">
        <w:t xml:space="preserve">WSB </w:t>
      </w:r>
      <w:r>
        <w:t xml:space="preserve">and the further development of the action plan including, as appropriate, signalling of issues to be solved by the </w:t>
      </w:r>
      <w:r w:rsidR="009518A9">
        <w:t>WSB</w:t>
      </w:r>
      <w:r w:rsidR="005E46B0">
        <w:t>.</w:t>
      </w:r>
    </w:p>
    <w:p w14:paraId="347F03B0" w14:textId="77777777" w:rsidR="0065559F" w:rsidRDefault="0065559F" w:rsidP="008814A9">
      <w:pPr>
        <w:pStyle w:val="Header3"/>
      </w:pPr>
      <w:r>
        <w:t>Deliverables</w:t>
      </w:r>
    </w:p>
    <w:p w14:paraId="07BD40F8" w14:textId="1A7190FD" w:rsidR="0065559F" w:rsidRDefault="0065559F" w:rsidP="0072551F">
      <w:pPr>
        <w:pStyle w:val="Numbering"/>
        <w:numPr>
          <w:ilvl w:val="0"/>
          <w:numId w:val="8"/>
        </w:numPr>
      </w:pPr>
      <w:r>
        <w:t>Action Plan 2019-2022 for the implementation of the strategy on “Sustainable tourism in the Wadden Sea World Heritage Destination”</w:t>
      </w:r>
      <w:r w:rsidR="00FC3B46">
        <w:t>;</w:t>
      </w:r>
    </w:p>
    <w:p w14:paraId="02722F42" w14:textId="11D3F302" w:rsidR="0065559F" w:rsidRDefault="0065559F" w:rsidP="00FA025C">
      <w:pPr>
        <w:pStyle w:val="Numbering"/>
      </w:pPr>
      <w:r>
        <w:t>Development of a joint W</w:t>
      </w:r>
      <w:r w:rsidR="009518A9">
        <w:t xml:space="preserve">orld </w:t>
      </w:r>
      <w:r>
        <w:t>H</w:t>
      </w:r>
      <w:r w:rsidR="009518A9">
        <w:t>eritage</w:t>
      </w:r>
      <w:r>
        <w:t xml:space="preserve"> marketing </w:t>
      </w:r>
      <w:r w:rsidR="00B0252F">
        <w:t xml:space="preserve">approach </w:t>
      </w:r>
      <w:r>
        <w:t>for the Danish-Dutch-German Wadden Sea World Heritage Destination</w:t>
      </w:r>
      <w:r w:rsidR="00FC3B46">
        <w:t>;</w:t>
      </w:r>
    </w:p>
    <w:p w14:paraId="718B9D30" w14:textId="1D932D42" w:rsidR="0065559F" w:rsidRDefault="0065559F" w:rsidP="00FA025C">
      <w:pPr>
        <w:pStyle w:val="Numbering"/>
      </w:pPr>
      <w:r>
        <w:t>Regular Progress Reports on the status of the implementation</w:t>
      </w:r>
      <w:r w:rsidR="0058632E">
        <w:t>.</w:t>
      </w:r>
    </w:p>
    <w:p w14:paraId="141A2CB5" w14:textId="77777777" w:rsidR="0065559F" w:rsidRDefault="0065559F" w:rsidP="008814A9">
      <w:pPr>
        <w:pStyle w:val="Header3"/>
      </w:pPr>
      <w:r>
        <w:t>Composition/Membership</w:t>
      </w:r>
    </w:p>
    <w:p w14:paraId="4B31E64F" w14:textId="59316C37" w:rsidR="0065559F" w:rsidRDefault="0065559F" w:rsidP="00617074">
      <w:pPr>
        <w:pStyle w:val="Textkrper1"/>
        <w:numPr>
          <w:ilvl w:val="0"/>
          <w:numId w:val="27"/>
        </w:numPr>
        <w:spacing w:before="0"/>
      </w:pPr>
      <w:r>
        <w:t xml:space="preserve">Chairperson </w:t>
      </w:r>
      <w:r w:rsidR="00D50E14">
        <w:t>(</w:t>
      </w:r>
      <w:r>
        <w:t>with experience in sustainable tourism and nature conservation</w:t>
      </w:r>
      <w:r w:rsidR="00D50E14">
        <w:t>)</w:t>
      </w:r>
      <w:r w:rsidR="006D78B8">
        <w:t>,</w:t>
      </w:r>
      <w:r w:rsidR="00D50E14">
        <w:t xml:space="preserve"> plus</w:t>
      </w:r>
    </w:p>
    <w:p w14:paraId="545D3446" w14:textId="680A698D" w:rsidR="0065559F" w:rsidRDefault="005E46B0" w:rsidP="00617074">
      <w:pPr>
        <w:pStyle w:val="Textkrper1"/>
        <w:numPr>
          <w:ilvl w:val="0"/>
          <w:numId w:val="27"/>
        </w:numPr>
        <w:spacing w:before="0"/>
      </w:pPr>
      <w:r>
        <w:t>R</w:t>
      </w:r>
      <w:r w:rsidR="00D50E14">
        <w:t xml:space="preserve">epresentatives </w:t>
      </w:r>
      <w:r w:rsidR="0065559F">
        <w:t>from relevant government authorities, the tourism sector, applied universities and nature NGOs, i.e.</w:t>
      </w:r>
      <w:r>
        <w:t xml:space="preserve"> 2-4</w:t>
      </w:r>
      <w:r w:rsidR="0065559F">
        <w:t xml:space="preserve"> representatives per region (1-2 GO, 1-2 tourism and marketing sector depending on the regional structure) and 2 green NGOs (WWF, Waddenvereniging)</w:t>
      </w:r>
      <w:r w:rsidR="00B0252F">
        <w:t>.</w:t>
      </w:r>
    </w:p>
    <w:p w14:paraId="3D13988E" w14:textId="15C24D73" w:rsidR="00E937A6" w:rsidRDefault="0065559F" w:rsidP="000963D7">
      <w:pPr>
        <w:pStyle w:val="Header3"/>
      </w:pPr>
      <w:r>
        <w:t>Time schedule</w:t>
      </w:r>
      <w:r w:rsidR="00617074">
        <w:t xml:space="preserve">: </w:t>
      </w:r>
      <w:r w:rsidR="00B0252F" w:rsidRPr="00617074">
        <w:rPr>
          <w:rFonts w:ascii="Times New Roman" w:hAnsi="Times New Roman" w:cs="Times New Roman"/>
          <w:b w:val="0"/>
        </w:rPr>
        <w:t>Permanent</w:t>
      </w:r>
    </w:p>
    <w:p w14:paraId="4B3CDAC1" w14:textId="2B23BF6E" w:rsidR="00FE6996" w:rsidRPr="00B131DE" w:rsidRDefault="00FE6996" w:rsidP="00FA025C"/>
    <w:p w14:paraId="79CF8A78" w14:textId="29DC81B9" w:rsidR="00D36297" w:rsidRPr="0061329F" w:rsidRDefault="003B53F1" w:rsidP="00D36297">
      <w:pPr>
        <w:pStyle w:val="berschrift1"/>
        <w:numPr>
          <w:ilvl w:val="0"/>
          <w:numId w:val="35"/>
        </w:numPr>
        <w:jc w:val="left"/>
        <w:rPr>
          <w:rFonts w:cs="Arial"/>
          <w:szCs w:val="28"/>
        </w:rPr>
      </w:pPr>
      <w:r>
        <w:lastRenderedPageBreak/>
        <w:t>Ad-hoc Working G</w:t>
      </w:r>
      <w:r w:rsidR="004F5FAD" w:rsidRPr="004F5FAD">
        <w:t>roup Alien Species</w:t>
      </w:r>
      <w:r w:rsidR="000912CA">
        <w:t xml:space="preserve"> (ad</w:t>
      </w:r>
      <w:r w:rsidR="00CA774E">
        <w:t xml:space="preserve"> </w:t>
      </w:r>
      <w:r w:rsidR="000912CA">
        <w:t>hoc WG-AS)</w:t>
      </w:r>
    </w:p>
    <w:p w14:paraId="6D7F8AFB" w14:textId="7AFAAE1C" w:rsidR="008B32C7" w:rsidRDefault="008B32C7" w:rsidP="00FA025C">
      <w:pPr>
        <w:pStyle w:val="Header1centred"/>
      </w:pPr>
      <w:r>
        <w:t>Terms of Reference</w:t>
      </w:r>
    </w:p>
    <w:p w14:paraId="04343DE6" w14:textId="77777777" w:rsidR="00E73BE3" w:rsidRDefault="00E73BE3" w:rsidP="00B760BD">
      <w:pPr>
        <w:pStyle w:val="Textkrper1"/>
        <w:rPr>
          <w:rFonts w:ascii="Arial" w:hAnsi="Arial" w:cs="Arial"/>
          <w:b/>
          <w:lang w:eastAsia="de-DE"/>
        </w:rPr>
      </w:pPr>
    </w:p>
    <w:p w14:paraId="45190D20" w14:textId="14405CC9" w:rsidR="00D64B1C" w:rsidRPr="002A71CE" w:rsidRDefault="00D64B1C" w:rsidP="00B760BD">
      <w:pPr>
        <w:pStyle w:val="Textkrper1"/>
        <w:rPr>
          <w:rFonts w:ascii="Arial" w:hAnsi="Arial" w:cs="Arial"/>
          <w:b/>
        </w:rPr>
      </w:pPr>
      <w:r w:rsidRPr="002A71CE">
        <w:rPr>
          <w:rFonts w:ascii="Arial" w:hAnsi="Arial" w:cs="Arial"/>
          <w:b/>
          <w:lang w:eastAsia="de-DE"/>
        </w:rPr>
        <w:t>Background</w:t>
      </w:r>
    </w:p>
    <w:p w14:paraId="0BC9A0F3" w14:textId="3AA8ABF1" w:rsidR="00B760BD" w:rsidRDefault="00985CA7" w:rsidP="00B760BD">
      <w:pPr>
        <w:pStyle w:val="Textkrper1"/>
        <w:rPr>
          <w:lang w:eastAsia="de-DE"/>
        </w:rPr>
      </w:pPr>
      <w:r w:rsidRPr="00985CA7">
        <w:t>Taking into account existing and upcoming national and regional legislations and projects, finalise the Trilateral Management and Action Plan Alien species (MAPAS) for the Wadden Sea and tasks related to MAPAS (</w:t>
      </w:r>
      <w:r w:rsidR="002271E4">
        <w:t>article</w:t>
      </w:r>
      <w:r w:rsidRPr="00985CA7">
        <w:t xml:space="preserve"> 17 </w:t>
      </w:r>
      <w:r w:rsidR="002A71CE">
        <w:t>LD</w:t>
      </w:r>
      <w:r w:rsidRPr="00985CA7">
        <w:t xml:space="preserve">), while </w:t>
      </w:r>
      <w:r w:rsidR="00D33E43">
        <w:t>initiating</w:t>
      </w:r>
      <w:r w:rsidR="00D33E43" w:rsidRPr="00985CA7">
        <w:t xml:space="preserve"> </w:t>
      </w:r>
      <w:r w:rsidRPr="00985CA7">
        <w:t xml:space="preserve">investigations to understand the effects of climate change </w:t>
      </w:r>
      <w:r w:rsidR="0019294F">
        <w:t>with regard to</w:t>
      </w:r>
      <w:r w:rsidR="0019294F" w:rsidRPr="00985CA7">
        <w:t xml:space="preserve"> </w:t>
      </w:r>
      <w:r w:rsidRPr="00985CA7">
        <w:t>aliens species, and installing a network platform at CWSS to coordinate the alien species policy for the Wadden Sea</w:t>
      </w:r>
      <w:r w:rsidR="00B760BD">
        <w:t>.</w:t>
      </w:r>
      <w:r w:rsidR="00B760BD" w:rsidRPr="00B760BD">
        <w:t xml:space="preserve"> </w:t>
      </w:r>
      <w:r w:rsidR="00B760BD" w:rsidRPr="00BE5FA0">
        <w:t xml:space="preserve">The </w:t>
      </w:r>
      <w:r w:rsidR="00B760BD">
        <w:t>g</w:t>
      </w:r>
      <w:r w:rsidR="00B760BD" w:rsidRPr="00BE5FA0">
        <w:t>roup</w:t>
      </w:r>
      <w:r w:rsidR="00813DB5">
        <w:t xml:space="preserve"> </w:t>
      </w:r>
      <w:r w:rsidR="00B760BD" w:rsidRPr="00BE5FA0">
        <w:t>report</w:t>
      </w:r>
      <w:r w:rsidR="00813DB5">
        <w:t>s</w:t>
      </w:r>
      <w:r w:rsidR="00B760BD" w:rsidRPr="00BE5FA0">
        <w:t xml:space="preserve"> to TG</w:t>
      </w:r>
      <w:r w:rsidR="00D33E43">
        <w:t>-</w:t>
      </w:r>
      <w:r w:rsidR="00B760BD" w:rsidRPr="00BE5FA0">
        <w:t>M</w:t>
      </w:r>
      <w:r w:rsidR="00B760BD">
        <w:t xml:space="preserve"> but also to</w:t>
      </w:r>
      <w:r w:rsidR="00B760BD" w:rsidRPr="00BE5FA0">
        <w:t xml:space="preserve"> TG-</w:t>
      </w:r>
      <w:r w:rsidR="00D33E43">
        <w:t>M</w:t>
      </w:r>
      <w:r w:rsidR="00410F47">
        <w:t>A</w:t>
      </w:r>
      <w:r w:rsidR="00B760BD">
        <w:t xml:space="preserve"> </w:t>
      </w:r>
      <w:r w:rsidR="00813DB5">
        <w:t>if</w:t>
      </w:r>
      <w:r w:rsidR="00B760BD">
        <w:t xml:space="preserve"> appropriate</w:t>
      </w:r>
      <w:r w:rsidR="00B760BD">
        <w:rPr>
          <w:lang w:eastAsia="de-DE"/>
        </w:rPr>
        <w:t xml:space="preserve">. </w:t>
      </w:r>
    </w:p>
    <w:p w14:paraId="0632C37C" w14:textId="7D202CBC" w:rsidR="007331F6" w:rsidRDefault="007331F6" w:rsidP="008814A9">
      <w:pPr>
        <w:pStyle w:val="Header3"/>
      </w:pPr>
      <w:r>
        <w:t>Objective</w:t>
      </w:r>
    </w:p>
    <w:p w14:paraId="64822657" w14:textId="77777777" w:rsidR="007331F6" w:rsidRDefault="007331F6" w:rsidP="00BE5FA0">
      <w:pPr>
        <w:pStyle w:val="Textkrper1"/>
        <w:rPr>
          <w:b/>
        </w:rPr>
      </w:pPr>
      <w:r>
        <w:t>The overall objective is to prevent threats from alien species to the Wadden Sea marine and terrestrial ecosystems and to sustain the Outstanding Universal Value (OUV) and integrity of the Wadden Sea World Heritage property by preventing, managing or controlling alien species through a coordinated effort, based on national obligations according to overarching legal frameworks (e.g., EU and international).</w:t>
      </w:r>
    </w:p>
    <w:p w14:paraId="2746DF23" w14:textId="77777777" w:rsidR="007331F6" w:rsidRDefault="007331F6" w:rsidP="008814A9">
      <w:pPr>
        <w:pStyle w:val="Header3"/>
      </w:pPr>
      <w:r>
        <w:t>Tasks</w:t>
      </w:r>
    </w:p>
    <w:p w14:paraId="34ABA591" w14:textId="18502A76" w:rsidR="00985CA7" w:rsidRPr="0061329F" w:rsidRDefault="00985CA7" w:rsidP="0072551F">
      <w:pPr>
        <w:pStyle w:val="Listenabsatz"/>
        <w:numPr>
          <w:ilvl w:val="0"/>
          <w:numId w:val="17"/>
        </w:numPr>
      </w:pPr>
      <w:r w:rsidRPr="0061329F">
        <w:t>Finalise the Management and Action Plan for Alien Species (MAPAS)</w:t>
      </w:r>
      <w:r w:rsidR="00D33E43">
        <w:t>;</w:t>
      </w:r>
    </w:p>
    <w:p w14:paraId="37FB8CB5" w14:textId="4724B54A" w:rsidR="00985CA7" w:rsidRPr="0061329F" w:rsidRDefault="00985CA7" w:rsidP="0061329F">
      <w:pPr>
        <w:pStyle w:val="Listenabsatz"/>
      </w:pPr>
      <w:r w:rsidRPr="0061329F">
        <w:t>Finalise the MAPAS communication plan for the Wadden Sea Area;</w:t>
      </w:r>
    </w:p>
    <w:p w14:paraId="4851DE36" w14:textId="4450386E" w:rsidR="00985CA7" w:rsidRPr="0061329F" w:rsidRDefault="00985CA7" w:rsidP="0061329F">
      <w:pPr>
        <w:pStyle w:val="Listenabsatz"/>
      </w:pPr>
      <w:r w:rsidRPr="0061329F">
        <w:t>Assess the implications of implementing MAPAS including relevant steps for public awareness and cooperation on monitoring, early warning and measures, e.g. rapid response processes;</w:t>
      </w:r>
    </w:p>
    <w:p w14:paraId="07C68B06" w14:textId="5491B12C" w:rsidR="00985CA7" w:rsidRPr="0061329F" w:rsidRDefault="00985CA7" w:rsidP="0061329F">
      <w:pPr>
        <w:pStyle w:val="Listenabsatz"/>
      </w:pPr>
      <w:r w:rsidRPr="0061329F">
        <w:t xml:space="preserve">Complete and continuously update the marine, as well as the freshwater and the terrestrial alien species inventory by developing and maintaining an alien species list; </w:t>
      </w:r>
    </w:p>
    <w:p w14:paraId="66D00AA4" w14:textId="3D2EE1E1" w:rsidR="00985CA7" w:rsidRPr="0061329F" w:rsidRDefault="00985CA7" w:rsidP="0061329F">
      <w:pPr>
        <w:pStyle w:val="Listenabsatz"/>
      </w:pPr>
      <w:r w:rsidRPr="0061329F">
        <w:t xml:space="preserve">Integrate </w:t>
      </w:r>
      <w:r w:rsidR="00D33E43">
        <w:t xml:space="preserve">an </w:t>
      </w:r>
      <w:r w:rsidRPr="0061329F">
        <w:t xml:space="preserve">alien species inventory with a related monitoring programme at national level to support </w:t>
      </w:r>
      <w:r w:rsidR="00D33E43">
        <w:t xml:space="preserve">the </w:t>
      </w:r>
      <w:r w:rsidRPr="0061329F">
        <w:t>Trilateral Assessment and Monitoring Programme (TMAP);</w:t>
      </w:r>
    </w:p>
    <w:p w14:paraId="56352EE3" w14:textId="273134A7" w:rsidR="00985CA7" w:rsidRPr="0061329F" w:rsidRDefault="00985CA7" w:rsidP="0061329F">
      <w:pPr>
        <w:pStyle w:val="Listenabsatz"/>
      </w:pPr>
      <w:r w:rsidRPr="0061329F">
        <w:t>Define</w:t>
      </w:r>
      <w:r w:rsidR="0071128C">
        <w:t xml:space="preserve"> a concept</w:t>
      </w:r>
      <w:r w:rsidRPr="0061329F">
        <w:t xml:space="preserve"> </w:t>
      </w:r>
      <w:r w:rsidR="00DA6C8B">
        <w:t xml:space="preserve">for </w:t>
      </w:r>
      <w:r w:rsidRPr="0061329F">
        <w:t>a networking platform at the Common Wadden Sea Secretariat;</w:t>
      </w:r>
    </w:p>
    <w:p w14:paraId="18C2F85F" w14:textId="345D3BDC" w:rsidR="007331F6" w:rsidRPr="0061329F" w:rsidRDefault="00985CA7" w:rsidP="0061329F">
      <w:pPr>
        <w:pStyle w:val="Listenabsatz"/>
      </w:pPr>
      <w:r w:rsidRPr="0061329F">
        <w:t xml:space="preserve">Foster exchange with the </w:t>
      </w:r>
      <w:r w:rsidR="00CD0E24" w:rsidRPr="003B4885">
        <w:t>Expert</w:t>
      </w:r>
      <w:r w:rsidRPr="0061329F">
        <w:t xml:space="preserve"> Group Climate</w:t>
      </w:r>
      <w:r w:rsidR="000963D7">
        <w:t xml:space="preserve"> Change</w:t>
      </w:r>
      <w:r w:rsidR="00DA6C8B">
        <w:t xml:space="preserve"> Adaptation</w:t>
      </w:r>
      <w:r w:rsidRPr="0061329F">
        <w:t xml:space="preserve"> to tackle impacts of climate change in relation to alien species, i.e., by determining which investigations are needed</w:t>
      </w:r>
      <w:r w:rsidR="0019294F">
        <w:t>.</w:t>
      </w:r>
      <w:r w:rsidRPr="0061329F">
        <w:t xml:space="preserve"> </w:t>
      </w:r>
    </w:p>
    <w:p w14:paraId="0ABF0E5C" w14:textId="0B5390C6" w:rsidR="007331F6" w:rsidRDefault="007331F6" w:rsidP="008814A9">
      <w:pPr>
        <w:pStyle w:val="Header3"/>
      </w:pPr>
      <w:r>
        <w:t xml:space="preserve">Deliverables </w:t>
      </w:r>
    </w:p>
    <w:p w14:paraId="5952A4EB" w14:textId="2BF51939" w:rsidR="00985CA7" w:rsidRPr="0061329F" w:rsidRDefault="00985CA7" w:rsidP="0072551F">
      <w:pPr>
        <w:pStyle w:val="Listenabsatz"/>
        <w:numPr>
          <w:ilvl w:val="0"/>
          <w:numId w:val="18"/>
        </w:numPr>
      </w:pPr>
      <w:r w:rsidRPr="0061329F">
        <w:t>A Trilateral Management and Action Plan for Alien Species (MAPAS) including a definition of tasks of a coordination group as described therein</w:t>
      </w:r>
      <w:r w:rsidR="0058632E">
        <w:t>;</w:t>
      </w:r>
      <w:r w:rsidRPr="0061329F">
        <w:t xml:space="preserve"> </w:t>
      </w:r>
    </w:p>
    <w:p w14:paraId="528DBA0A" w14:textId="52A77D46" w:rsidR="00985CA7" w:rsidRPr="0061329F" w:rsidRDefault="00985CA7" w:rsidP="0061329F">
      <w:pPr>
        <w:pStyle w:val="Listenabsatz"/>
      </w:pPr>
      <w:r w:rsidRPr="0061329F">
        <w:t xml:space="preserve">A communication plan for </w:t>
      </w:r>
      <w:r w:rsidR="0071128C">
        <w:t>a</w:t>
      </w:r>
      <w:r w:rsidR="0071128C" w:rsidRPr="0061329F">
        <w:t xml:space="preserve">lien </w:t>
      </w:r>
      <w:r w:rsidRPr="0061329F">
        <w:t xml:space="preserve">species </w:t>
      </w:r>
      <w:r w:rsidR="0071128C">
        <w:t>m</w:t>
      </w:r>
      <w:r w:rsidR="0071128C" w:rsidRPr="0061329F">
        <w:t>anagement</w:t>
      </w:r>
      <w:r w:rsidRPr="0061329F">
        <w:t>;</w:t>
      </w:r>
    </w:p>
    <w:p w14:paraId="4BC51FE0" w14:textId="6D6B6B06" w:rsidR="00985CA7" w:rsidRPr="0061329F" w:rsidRDefault="00985CA7" w:rsidP="0061329F">
      <w:pPr>
        <w:pStyle w:val="Listenabsatz"/>
      </w:pPr>
      <w:r w:rsidRPr="0061329F">
        <w:t>Update and maintenance of marine, freshwater and terrestrial alien species list</w:t>
      </w:r>
      <w:r w:rsidR="0058632E">
        <w:t>;</w:t>
      </w:r>
    </w:p>
    <w:p w14:paraId="6464BE06" w14:textId="73FD60AF" w:rsidR="00985CA7" w:rsidRPr="0061329F" w:rsidRDefault="00DA6C8B" w:rsidP="0061329F">
      <w:pPr>
        <w:pStyle w:val="Listenabsatz"/>
      </w:pPr>
      <w:r>
        <w:t xml:space="preserve">Deliver a concept and proposal </w:t>
      </w:r>
      <w:r w:rsidR="00F80F4D">
        <w:t xml:space="preserve">for establishing </w:t>
      </w:r>
      <w:r w:rsidR="00985CA7" w:rsidRPr="0061329F">
        <w:t xml:space="preserve">a networking platform for </w:t>
      </w:r>
      <w:r w:rsidR="00F80F4D">
        <w:t xml:space="preserve">reporting on </w:t>
      </w:r>
      <w:r w:rsidR="00985CA7" w:rsidRPr="0061329F">
        <w:t>alien species</w:t>
      </w:r>
      <w:r>
        <w:t xml:space="preserve"> to inform the related WSB decision</w:t>
      </w:r>
      <w:r w:rsidR="00F80F4D">
        <w:t>s</w:t>
      </w:r>
      <w:r w:rsidR="0058632E">
        <w:t>;</w:t>
      </w:r>
      <w:r w:rsidR="00985CA7" w:rsidRPr="0061329F">
        <w:t xml:space="preserve"> </w:t>
      </w:r>
    </w:p>
    <w:p w14:paraId="07DACA5E" w14:textId="3A033545" w:rsidR="00985CA7" w:rsidRPr="0061329F" w:rsidRDefault="00985CA7" w:rsidP="0061329F">
      <w:pPr>
        <w:pStyle w:val="Listenabsatz"/>
      </w:pPr>
      <w:r w:rsidRPr="0061329F">
        <w:t>Development of alien species indicators for monitoring by TMAP</w:t>
      </w:r>
      <w:r w:rsidR="0058632E">
        <w:t>;</w:t>
      </w:r>
      <w:r w:rsidRPr="0061329F">
        <w:t xml:space="preserve"> </w:t>
      </w:r>
    </w:p>
    <w:p w14:paraId="4A952024" w14:textId="373D8323" w:rsidR="001D0D55" w:rsidRDefault="001D0D55" w:rsidP="0061329F">
      <w:pPr>
        <w:pStyle w:val="Listenabsatz"/>
      </w:pPr>
      <w:r w:rsidRPr="0061329F">
        <w:t>Define and list research options for understanding the impacts of climate change on alien species in the Wadden Sea ecosystem</w:t>
      </w:r>
      <w:r w:rsidR="0058632E">
        <w:t>.</w:t>
      </w:r>
    </w:p>
    <w:p w14:paraId="2BB6A1E4" w14:textId="77777777" w:rsidR="00E73BE3" w:rsidRPr="0061329F" w:rsidRDefault="00E73BE3" w:rsidP="002731FB">
      <w:pPr>
        <w:pStyle w:val="Listenabsatz"/>
        <w:numPr>
          <w:ilvl w:val="0"/>
          <w:numId w:val="0"/>
        </w:numPr>
        <w:ind w:left="720"/>
      </w:pPr>
    </w:p>
    <w:p w14:paraId="5FB98F5A" w14:textId="54E65777" w:rsidR="007331F6" w:rsidRDefault="009F4B13" w:rsidP="008814A9">
      <w:pPr>
        <w:pStyle w:val="Header3"/>
      </w:pPr>
      <w:r>
        <w:lastRenderedPageBreak/>
        <w:t>Composition/</w:t>
      </w:r>
      <w:r w:rsidR="007331F6">
        <w:t>Membership</w:t>
      </w:r>
    </w:p>
    <w:p w14:paraId="36C59C81" w14:textId="77777777" w:rsidR="00F80F4D" w:rsidRDefault="00CA14DD" w:rsidP="0072551F">
      <w:pPr>
        <w:pStyle w:val="Textkrper1"/>
        <w:numPr>
          <w:ilvl w:val="0"/>
          <w:numId w:val="29"/>
        </w:numPr>
      </w:pPr>
      <w:r>
        <w:t xml:space="preserve">Chairperson </w:t>
      </w:r>
      <w:r w:rsidR="00F80F4D">
        <w:t>plus</w:t>
      </w:r>
    </w:p>
    <w:p w14:paraId="4B4E5923" w14:textId="2EABA1F6" w:rsidR="007331F6" w:rsidRDefault="007331F6" w:rsidP="0072551F">
      <w:pPr>
        <w:pStyle w:val="Textkrper1"/>
        <w:numPr>
          <w:ilvl w:val="0"/>
          <w:numId w:val="29"/>
        </w:numPr>
      </w:pPr>
      <w:r>
        <w:t xml:space="preserve">1-2 </w:t>
      </w:r>
      <w:r w:rsidR="00F80F4D">
        <w:t xml:space="preserve">members </w:t>
      </w:r>
      <w:r>
        <w:t xml:space="preserve">per region (NL, </w:t>
      </w:r>
      <w:r w:rsidR="00BF041F">
        <w:t>DE</w:t>
      </w:r>
      <w:r w:rsidR="000912CA">
        <w:t>, LS, HH, SH</w:t>
      </w:r>
      <w:r>
        <w:t>, DK), representing ecology and alien species expertise.</w:t>
      </w:r>
    </w:p>
    <w:p w14:paraId="17BE73DA" w14:textId="77777777" w:rsidR="004C6BB4" w:rsidRDefault="007331F6" w:rsidP="008814A9">
      <w:pPr>
        <w:pStyle w:val="Header3"/>
      </w:pPr>
      <w:r>
        <w:t xml:space="preserve">Time schedule </w:t>
      </w:r>
    </w:p>
    <w:p w14:paraId="006F2766" w14:textId="5094C25C" w:rsidR="007331F6" w:rsidRDefault="001D0D55" w:rsidP="00FA025C">
      <w:pPr>
        <w:pStyle w:val="Textkrper1"/>
      </w:pPr>
      <w:r>
        <w:t>2019</w:t>
      </w:r>
    </w:p>
    <w:p w14:paraId="17279A1D" w14:textId="77777777" w:rsidR="002731FB" w:rsidRPr="000769E9" w:rsidRDefault="002731FB" w:rsidP="00FA025C"/>
    <w:p w14:paraId="1B90A069" w14:textId="616FB82B" w:rsidR="00632074" w:rsidRDefault="00632074" w:rsidP="00FA025C">
      <w:pPr>
        <w:rPr>
          <w:rFonts w:ascii="Arial" w:hAnsi="Arial" w:cs="Arial"/>
          <w:szCs w:val="28"/>
        </w:rPr>
      </w:pPr>
      <w:r>
        <w:br w:type="page"/>
      </w:r>
    </w:p>
    <w:p w14:paraId="762DE810" w14:textId="3F558EFE" w:rsidR="00D36297" w:rsidRPr="0061329F" w:rsidRDefault="000912CA" w:rsidP="00D36297">
      <w:pPr>
        <w:pStyle w:val="berschrift1"/>
        <w:numPr>
          <w:ilvl w:val="0"/>
          <w:numId w:val="35"/>
        </w:numPr>
        <w:rPr>
          <w:rFonts w:cs="Arial"/>
          <w:szCs w:val="28"/>
        </w:rPr>
      </w:pPr>
      <w:r>
        <w:lastRenderedPageBreak/>
        <w:t xml:space="preserve">Ad hoc </w:t>
      </w:r>
      <w:r w:rsidR="003D3EB7">
        <w:t>Working</w:t>
      </w:r>
      <w:r w:rsidR="00683EC9">
        <w:t xml:space="preserve"> Group </w:t>
      </w:r>
      <w:r w:rsidR="004F5FAD" w:rsidRPr="004F5FAD">
        <w:t>Swimway</w:t>
      </w:r>
      <w:r w:rsidR="00D36297">
        <w:t xml:space="preserve"> Vision Initiation 2019</w:t>
      </w:r>
      <w:r>
        <w:br/>
        <w:t>(</w:t>
      </w:r>
      <w:r w:rsidR="00CA774E">
        <w:t>a</w:t>
      </w:r>
      <w:r>
        <w:t>d</w:t>
      </w:r>
      <w:r w:rsidR="00CA774E">
        <w:t xml:space="preserve"> </w:t>
      </w:r>
      <w:r>
        <w:t>hoc WG-Swimway)</w:t>
      </w:r>
    </w:p>
    <w:p w14:paraId="2CFA89CD" w14:textId="07D10F1F" w:rsidR="00683EC9" w:rsidRDefault="00683EC9" w:rsidP="00793462">
      <w:pPr>
        <w:pStyle w:val="Header1centred"/>
      </w:pPr>
      <w:r>
        <w:t>Terms of Reference</w:t>
      </w:r>
    </w:p>
    <w:p w14:paraId="64F28082" w14:textId="2757D1C2" w:rsidR="004F5FAD" w:rsidRPr="00F5347B" w:rsidRDefault="004F5FAD" w:rsidP="00793462">
      <w:pPr>
        <w:pStyle w:val="Header1centred"/>
      </w:pPr>
    </w:p>
    <w:p w14:paraId="160E1EC5" w14:textId="77777777" w:rsidR="00683EC9" w:rsidRPr="009F4B13" w:rsidRDefault="00683EC9" w:rsidP="00683EC9">
      <w:pPr>
        <w:pStyle w:val="Untertitel1"/>
      </w:pPr>
      <w:r w:rsidRPr="009F4B13">
        <w:t>Background</w:t>
      </w:r>
    </w:p>
    <w:p w14:paraId="62F5F0BC" w14:textId="4660564B" w:rsidR="00C61725" w:rsidRDefault="00683EC9" w:rsidP="00E73BE3">
      <w:pPr>
        <w:spacing w:line="276" w:lineRule="auto"/>
      </w:pPr>
      <w:r w:rsidRPr="00A47823">
        <w:t>At the Ministerial Council Meetings in 2014 and 2018, the three Wadden Sea countries confirmed the wish to implement the five Trilateral Fish Targets</w:t>
      </w:r>
      <w:r>
        <w:t>,</w:t>
      </w:r>
      <w:r w:rsidRPr="00A47823">
        <w:t xml:space="preserve"> </w:t>
      </w:r>
      <w:r w:rsidRPr="00230530">
        <w:t xml:space="preserve">which were adopted as part </w:t>
      </w:r>
      <w:r w:rsidRPr="00A47823">
        <w:t xml:space="preserve">of the Wadden Sea Plan </w:t>
      </w:r>
      <w:r w:rsidRPr="00230530">
        <w:t>at the Trilateral Governmental</w:t>
      </w:r>
      <w:r>
        <w:t xml:space="preserve"> </w:t>
      </w:r>
      <w:r w:rsidRPr="00230530">
        <w:t xml:space="preserve">Conference in </w:t>
      </w:r>
      <w:r w:rsidRPr="00A47823">
        <w:t xml:space="preserve">2010. These targets aim at improving the conservation status of fish spending at least part of their life cycle in the Wadden Sea. They acknowledge the uniqueness of the fish community in the Wadden Sea, with several fish populations having declined in recent decades, due to largely unknown reasons. To that effect, the Trilateral Swimway Vision 2018-2024 was approved by the ministers at the 13th Trilateral Wadden Sea Conference </w:t>
      </w:r>
      <w:r w:rsidR="000912CA">
        <w:t>on the Protection of the Wadden Sea</w:t>
      </w:r>
      <w:r w:rsidR="000912CA" w:rsidRPr="00A47823">
        <w:t xml:space="preserve"> </w:t>
      </w:r>
      <w:r w:rsidRPr="00A47823">
        <w:t>on May 18th in Leeuwarden, The Netherlands.</w:t>
      </w:r>
    </w:p>
    <w:p w14:paraId="78DB42CD" w14:textId="77777777" w:rsidR="000912CA" w:rsidRPr="00A47823" w:rsidRDefault="000912CA" w:rsidP="00E73BE3">
      <w:pPr>
        <w:spacing w:line="276" w:lineRule="auto"/>
      </w:pPr>
    </w:p>
    <w:p w14:paraId="5F1383C7" w14:textId="79BB960F" w:rsidR="00683EC9" w:rsidRPr="00A47823" w:rsidRDefault="00683EC9" w:rsidP="00683EC9">
      <w:pPr>
        <w:pStyle w:val="Untertitel1"/>
        <w:rPr>
          <w:rFonts w:ascii="Times New Roman" w:hAnsi="Times New Roman" w:cs="Times New Roman"/>
          <w:b w:val="0"/>
        </w:rPr>
      </w:pPr>
      <w:r w:rsidRPr="00A47823">
        <w:rPr>
          <w:rFonts w:ascii="Times New Roman" w:hAnsi="Times New Roman" w:cs="Times New Roman"/>
          <w:b w:val="0"/>
        </w:rPr>
        <w:t>Since further preparatory work is needed before it is considered feasible to establish e.g. a</w:t>
      </w:r>
      <w:r w:rsidR="00410F47">
        <w:rPr>
          <w:rFonts w:ascii="Times New Roman" w:hAnsi="Times New Roman" w:cs="Times New Roman"/>
          <w:b w:val="0"/>
        </w:rPr>
        <w:t>n</w:t>
      </w:r>
      <w:r w:rsidRPr="00A47823">
        <w:rPr>
          <w:rFonts w:ascii="Times New Roman" w:hAnsi="Times New Roman" w:cs="Times New Roman"/>
          <w:b w:val="0"/>
        </w:rPr>
        <w:t xml:space="preserve"> </w:t>
      </w:r>
      <w:r w:rsidR="00410F47">
        <w:rPr>
          <w:rFonts w:ascii="Times New Roman" w:hAnsi="Times New Roman" w:cs="Times New Roman"/>
          <w:b w:val="0"/>
        </w:rPr>
        <w:t>E</w:t>
      </w:r>
      <w:r w:rsidR="00410F47" w:rsidRPr="00A47823">
        <w:rPr>
          <w:rFonts w:ascii="Times New Roman" w:hAnsi="Times New Roman" w:cs="Times New Roman"/>
          <w:b w:val="0"/>
        </w:rPr>
        <w:t xml:space="preserve">xpert </w:t>
      </w:r>
      <w:r w:rsidR="00410F47">
        <w:rPr>
          <w:rFonts w:ascii="Times New Roman" w:hAnsi="Times New Roman" w:cs="Times New Roman"/>
          <w:b w:val="0"/>
        </w:rPr>
        <w:t>G</w:t>
      </w:r>
      <w:r w:rsidR="00410F47" w:rsidRPr="00A47823">
        <w:rPr>
          <w:rFonts w:ascii="Times New Roman" w:hAnsi="Times New Roman" w:cs="Times New Roman"/>
          <w:b w:val="0"/>
        </w:rPr>
        <w:t>roup</w:t>
      </w:r>
      <w:r w:rsidR="00410F47">
        <w:rPr>
          <w:rFonts w:ascii="Times New Roman" w:hAnsi="Times New Roman" w:cs="Times New Roman"/>
          <w:b w:val="0"/>
        </w:rPr>
        <w:t xml:space="preserve"> </w:t>
      </w:r>
      <w:r>
        <w:rPr>
          <w:rFonts w:ascii="Times New Roman" w:hAnsi="Times New Roman" w:cs="Times New Roman"/>
          <w:b w:val="0"/>
        </w:rPr>
        <w:t>Fish</w:t>
      </w:r>
      <w:r w:rsidRPr="00A47823">
        <w:rPr>
          <w:rFonts w:ascii="Times New Roman" w:hAnsi="Times New Roman" w:cs="Times New Roman"/>
          <w:b w:val="0"/>
        </w:rPr>
        <w:t>, the group of authors of the Swimway Vision ha</w:t>
      </w:r>
      <w:r>
        <w:rPr>
          <w:rFonts w:ascii="Times New Roman" w:hAnsi="Times New Roman" w:cs="Times New Roman"/>
          <w:b w:val="0"/>
        </w:rPr>
        <w:t>s</w:t>
      </w:r>
      <w:r w:rsidRPr="00A47823">
        <w:rPr>
          <w:rFonts w:ascii="Times New Roman" w:hAnsi="Times New Roman" w:cs="Times New Roman"/>
          <w:b w:val="0"/>
        </w:rPr>
        <w:t xml:space="preserve"> recommended that they continue through 2019 as a</w:t>
      </w:r>
      <w:r>
        <w:rPr>
          <w:rFonts w:ascii="Times New Roman" w:hAnsi="Times New Roman" w:cs="Times New Roman"/>
          <w:b w:val="0"/>
        </w:rPr>
        <w:t>n ad</w:t>
      </w:r>
      <w:r w:rsidR="00CA774E">
        <w:rPr>
          <w:rFonts w:ascii="Times New Roman" w:hAnsi="Times New Roman" w:cs="Times New Roman"/>
          <w:b w:val="0"/>
        </w:rPr>
        <w:t xml:space="preserve"> </w:t>
      </w:r>
      <w:r>
        <w:rPr>
          <w:rFonts w:ascii="Times New Roman" w:hAnsi="Times New Roman" w:cs="Times New Roman"/>
          <w:b w:val="0"/>
        </w:rPr>
        <w:t>hoc</w:t>
      </w:r>
      <w:r w:rsidRPr="00A47823">
        <w:rPr>
          <w:rFonts w:ascii="Times New Roman" w:hAnsi="Times New Roman" w:cs="Times New Roman"/>
          <w:b w:val="0"/>
        </w:rPr>
        <w:t xml:space="preserve"> </w:t>
      </w:r>
      <w:r>
        <w:rPr>
          <w:rFonts w:ascii="Times New Roman" w:hAnsi="Times New Roman" w:cs="Times New Roman"/>
          <w:b w:val="0"/>
        </w:rPr>
        <w:t>W</w:t>
      </w:r>
      <w:r w:rsidRPr="00A47823">
        <w:rPr>
          <w:rFonts w:ascii="Times New Roman" w:hAnsi="Times New Roman" w:cs="Times New Roman"/>
          <w:b w:val="0"/>
        </w:rPr>
        <w:t>ork</w:t>
      </w:r>
      <w:r>
        <w:rPr>
          <w:rFonts w:ascii="Times New Roman" w:hAnsi="Times New Roman" w:cs="Times New Roman"/>
          <w:b w:val="0"/>
        </w:rPr>
        <w:t>ing</w:t>
      </w:r>
      <w:r w:rsidRPr="00A47823">
        <w:rPr>
          <w:rFonts w:ascii="Times New Roman" w:hAnsi="Times New Roman" w:cs="Times New Roman"/>
          <w:b w:val="0"/>
        </w:rPr>
        <w:t xml:space="preserve"> </w:t>
      </w:r>
      <w:r>
        <w:rPr>
          <w:rFonts w:ascii="Times New Roman" w:hAnsi="Times New Roman" w:cs="Times New Roman"/>
          <w:b w:val="0"/>
        </w:rPr>
        <w:t>G</w:t>
      </w:r>
      <w:r w:rsidRPr="00A47823">
        <w:rPr>
          <w:rFonts w:ascii="Times New Roman" w:hAnsi="Times New Roman" w:cs="Times New Roman"/>
          <w:b w:val="0"/>
        </w:rPr>
        <w:t xml:space="preserve">roup </w:t>
      </w:r>
      <w:r>
        <w:rPr>
          <w:rFonts w:ascii="Times New Roman" w:hAnsi="Times New Roman" w:cs="Times New Roman"/>
          <w:b w:val="0"/>
        </w:rPr>
        <w:t xml:space="preserve">Swimway </w:t>
      </w:r>
      <w:r w:rsidR="00CA774E">
        <w:rPr>
          <w:rFonts w:ascii="Times New Roman" w:hAnsi="Times New Roman" w:cs="Times New Roman"/>
          <w:b w:val="0"/>
        </w:rPr>
        <w:t xml:space="preserve">Vision </w:t>
      </w:r>
      <w:r>
        <w:rPr>
          <w:rFonts w:ascii="Times New Roman" w:hAnsi="Times New Roman" w:cs="Times New Roman"/>
          <w:b w:val="0"/>
        </w:rPr>
        <w:t>I</w:t>
      </w:r>
      <w:r w:rsidRPr="00A47823">
        <w:rPr>
          <w:rFonts w:ascii="Times New Roman" w:hAnsi="Times New Roman" w:cs="Times New Roman"/>
          <w:b w:val="0"/>
        </w:rPr>
        <w:t>nitiation under the auspices of TG-M according to the approved organisational set-up of the Trilateral Wadden Sea Cooperation. Th</w:t>
      </w:r>
      <w:r>
        <w:rPr>
          <w:rFonts w:ascii="Times New Roman" w:hAnsi="Times New Roman" w:cs="Times New Roman"/>
          <w:b w:val="0"/>
        </w:rPr>
        <w:t>is</w:t>
      </w:r>
      <w:r w:rsidRPr="00A47823">
        <w:rPr>
          <w:rFonts w:ascii="Times New Roman" w:hAnsi="Times New Roman" w:cs="Times New Roman"/>
          <w:b w:val="0"/>
        </w:rPr>
        <w:t xml:space="preserve"> Work</w:t>
      </w:r>
      <w:r>
        <w:rPr>
          <w:rFonts w:ascii="Times New Roman" w:hAnsi="Times New Roman" w:cs="Times New Roman"/>
          <w:b w:val="0"/>
        </w:rPr>
        <w:t>ing</w:t>
      </w:r>
      <w:r w:rsidRPr="00A47823">
        <w:rPr>
          <w:rFonts w:ascii="Times New Roman" w:hAnsi="Times New Roman" w:cs="Times New Roman"/>
          <w:b w:val="0"/>
        </w:rPr>
        <w:t xml:space="preserve"> Group </w:t>
      </w:r>
      <w:r>
        <w:rPr>
          <w:rFonts w:ascii="Times New Roman" w:hAnsi="Times New Roman" w:cs="Times New Roman"/>
          <w:b w:val="0"/>
        </w:rPr>
        <w:t xml:space="preserve">could possibly </w:t>
      </w:r>
      <w:r w:rsidRPr="00A47823">
        <w:rPr>
          <w:rFonts w:ascii="Times New Roman" w:hAnsi="Times New Roman" w:cs="Times New Roman"/>
          <w:b w:val="0"/>
        </w:rPr>
        <w:t>be replaced by a</w:t>
      </w:r>
      <w:r>
        <w:rPr>
          <w:rFonts w:ascii="Times New Roman" w:hAnsi="Times New Roman" w:cs="Times New Roman"/>
          <w:b w:val="0"/>
        </w:rPr>
        <w:t>n</w:t>
      </w:r>
      <w:r w:rsidRPr="00A47823">
        <w:rPr>
          <w:rFonts w:ascii="Times New Roman" w:hAnsi="Times New Roman" w:cs="Times New Roman"/>
          <w:b w:val="0"/>
        </w:rPr>
        <w:t xml:space="preserve"> Expert Group </w:t>
      </w:r>
      <w:r>
        <w:rPr>
          <w:rFonts w:ascii="Times New Roman" w:hAnsi="Times New Roman" w:cs="Times New Roman"/>
          <w:b w:val="0"/>
        </w:rPr>
        <w:t xml:space="preserve">Fish (or Swimway) </w:t>
      </w:r>
      <w:r w:rsidRPr="00A47823">
        <w:rPr>
          <w:rFonts w:ascii="Times New Roman" w:hAnsi="Times New Roman" w:cs="Times New Roman"/>
          <w:b w:val="0"/>
        </w:rPr>
        <w:t>in 2020</w:t>
      </w:r>
      <w:r>
        <w:rPr>
          <w:rStyle w:val="Funotenzeichen"/>
          <w:rFonts w:ascii="Times New Roman" w:hAnsi="Times New Roman" w:cs="Times New Roman"/>
          <w:b w:val="0"/>
        </w:rPr>
        <w:footnoteReference w:id="1"/>
      </w:r>
      <w:r w:rsidRPr="00A47823">
        <w:rPr>
          <w:rFonts w:ascii="Times New Roman" w:hAnsi="Times New Roman" w:cs="Times New Roman"/>
          <w:b w:val="0"/>
        </w:rPr>
        <w:t xml:space="preserve">, which this </w:t>
      </w:r>
      <w:r w:rsidR="000912CA">
        <w:rPr>
          <w:rFonts w:ascii="Times New Roman" w:hAnsi="Times New Roman" w:cs="Times New Roman"/>
          <w:b w:val="0"/>
        </w:rPr>
        <w:t>Terms of Reference (</w:t>
      </w:r>
      <w:r w:rsidR="00C5066C">
        <w:rPr>
          <w:rFonts w:ascii="Times New Roman" w:hAnsi="Times New Roman" w:cs="Times New Roman"/>
          <w:b w:val="0"/>
        </w:rPr>
        <w:t>TOR</w:t>
      </w:r>
      <w:r w:rsidR="000912CA">
        <w:rPr>
          <w:rFonts w:ascii="Times New Roman" w:hAnsi="Times New Roman" w:cs="Times New Roman"/>
          <w:b w:val="0"/>
        </w:rPr>
        <w:t>)</w:t>
      </w:r>
      <w:r w:rsidRPr="00A47823">
        <w:rPr>
          <w:rFonts w:ascii="Times New Roman" w:hAnsi="Times New Roman" w:cs="Times New Roman"/>
          <w:b w:val="0"/>
        </w:rPr>
        <w:t xml:space="preserve"> reflects as it only comprises tasks to be completed in 2019. </w:t>
      </w:r>
      <w:r w:rsidR="00813DB5">
        <w:rPr>
          <w:rFonts w:ascii="Times New Roman" w:hAnsi="Times New Roman" w:cs="Times New Roman"/>
          <w:b w:val="0"/>
        </w:rPr>
        <w:t>The group reports to TG-M but also to TG-M</w:t>
      </w:r>
      <w:r w:rsidR="00410F47">
        <w:rPr>
          <w:rFonts w:ascii="Times New Roman" w:hAnsi="Times New Roman" w:cs="Times New Roman"/>
          <w:b w:val="0"/>
        </w:rPr>
        <w:t>A</w:t>
      </w:r>
      <w:r w:rsidR="00813DB5">
        <w:rPr>
          <w:rFonts w:ascii="Times New Roman" w:hAnsi="Times New Roman" w:cs="Times New Roman"/>
          <w:b w:val="0"/>
        </w:rPr>
        <w:t xml:space="preserve"> if appropriate.</w:t>
      </w:r>
    </w:p>
    <w:p w14:paraId="0AB34229" w14:textId="77777777" w:rsidR="00683EC9" w:rsidRPr="00A47823" w:rsidRDefault="00683EC9" w:rsidP="00683EC9">
      <w:pPr>
        <w:pStyle w:val="Untertitel1"/>
        <w:rPr>
          <w:rFonts w:ascii="Times New Roman" w:hAnsi="Times New Roman" w:cs="Times New Roman"/>
          <w:b w:val="0"/>
        </w:rPr>
      </w:pPr>
    </w:p>
    <w:p w14:paraId="19FDE2B5" w14:textId="77777777" w:rsidR="00683EC9" w:rsidRPr="009F4B13" w:rsidRDefault="00683EC9" w:rsidP="00683EC9">
      <w:pPr>
        <w:pStyle w:val="Untertitel1"/>
      </w:pPr>
      <w:r w:rsidRPr="009F4B13">
        <w:t>Objective</w:t>
      </w:r>
    </w:p>
    <w:p w14:paraId="3BEEFBFE" w14:textId="60C16418" w:rsidR="00683EC9" w:rsidRPr="00A47823" w:rsidRDefault="00683EC9" w:rsidP="00683EC9">
      <w:pPr>
        <w:pStyle w:val="Untertitel1"/>
        <w:rPr>
          <w:rFonts w:ascii="Times New Roman" w:hAnsi="Times New Roman" w:cs="Times New Roman"/>
          <w:b w:val="0"/>
          <w:szCs w:val="22"/>
        </w:rPr>
      </w:pPr>
      <w:r>
        <w:rPr>
          <w:rFonts w:ascii="Times New Roman" w:hAnsi="Times New Roman" w:cs="Times New Roman"/>
          <w:b w:val="0"/>
        </w:rPr>
        <w:t>T</w:t>
      </w:r>
      <w:r w:rsidRPr="00A47823">
        <w:rPr>
          <w:rFonts w:ascii="Times New Roman" w:hAnsi="Times New Roman" w:cs="Times New Roman"/>
          <w:b w:val="0"/>
        </w:rPr>
        <w:t xml:space="preserve">he Swimway Vision is </w:t>
      </w:r>
      <w:r>
        <w:rPr>
          <w:rFonts w:ascii="Times New Roman" w:hAnsi="Times New Roman" w:cs="Times New Roman"/>
          <w:b w:val="0"/>
        </w:rPr>
        <w:t xml:space="preserve">based on </w:t>
      </w:r>
      <w:r w:rsidRPr="00A47823">
        <w:rPr>
          <w:rFonts w:ascii="Times New Roman" w:hAnsi="Times New Roman" w:cs="Times New Roman"/>
          <w:b w:val="0"/>
        </w:rPr>
        <w:t>4 pillars (1. Research &amp; Monitoring, 2. Policy, 3. Measures and 4. Stakeholder involvement</w:t>
      </w:r>
      <w:r w:rsidR="000912CA">
        <w:rPr>
          <w:rFonts w:ascii="Times New Roman" w:hAnsi="Times New Roman" w:cs="Times New Roman"/>
          <w:b w:val="0"/>
        </w:rPr>
        <w:t>, communication and education</w:t>
      </w:r>
      <w:r w:rsidRPr="00A47823">
        <w:rPr>
          <w:rFonts w:ascii="Times New Roman" w:hAnsi="Times New Roman" w:cs="Times New Roman"/>
          <w:b w:val="0"/>
        </w:rPr>
        <w:t>)</w:t>
      </w:r>
      <w:r w:rsidR="000912CA">
        <w:rPr>
          <w:rFonts w:ascii="Times New Roman" w:hAnsi="Times New Roman" w:cs="Times New Roman"/>
          <w:b w:val="0"/>
        </w:rPr>
        <w:t>. T</w:t>
      </w:r>
      <w:r w:rsidRPr="00A47823">
        <w:rPr>
          <w:rFonts w:ascii="Times New Roman" w:hAnsi="Times New Roman" w:cs="Times New Roman"/>
          <w:b w:val="0"/>
        </w:rPr>
        <w:t xml:space="preserve">he overarching objective of the </w:t>
      </w:r>
      <w:r w:rsidR="00CA774E">
        <w:rPr>
          <w:rFonts w:ascii="Times New Roman" w:hAnsi="Times New Roman" w:cs="Times New Roman"/>
          <w:b w:val="0"/>
        </w:rPr>
        <w:t>a</w:t>
      </w:r>
      <w:r w:rsidR="000912CA" w:rsidRPr="00F331C7">
        <w:rPr>
          <w:rFonts w:ascii="Times New Roman" w:hAnsi="Times New Roman" w:cs="Times New Roman"/>
          <w:b w:val="0"/>
        </w:rPr>
        <w:t>d</w:t>
      </w:r>
      <w:r w:rsidR="009C66D9">
        <w:rPr>
          <w:rFonts w:ascii="Times New Roman" w:hAnsi="Times New Roman" w:cs="Times New Roman"/>
          <w:b w:val="0"/>
        </w:rPr>
        <w:t>-</w:t>
      </w:r>
      <w:r w:rsidR="000912CA" w:rsidRPr="00F331C7">
        <w:rPr>
          <w:rFonts w:ascii="Times New Roman" w:hAnsi="Times New Roman" w:cs="Times New Roman"/>
          <w:b w:val="0"/>
        </w:rPr>
        <w:t>hoc Working Group Swimway Vision Initiation</w:t>
      </w:r>
      <w:r w:rsidR="000912CA" w:rsidRPr="00F331C7" w:rsidDel="00F331C7">
        <w:rPr>
          <w:rFonts w:ascii="Times New Roman" w:hAnsi="Times New Roman" w:cs="Times New Roman"/>
          <w:b w:val="0"/>
        </w:rPr>
        <w:t xml:space="preserve"> </w:t>
      </w:r>
      <w:r w:rsidRPr="00A47823">
        <w:rPr>
          <w:rFonts w:ascii="Times New Roman" w:hAnsi="Times New Roman" w:cs="Times New Roman"/>
          <w:b w:val="0"/>
        </w:rPr>
        <w:t xml:space="preserve">is to solve tasks linked to and defined by 8 activities as they appear from the </w:t>
      </w:r>
      <w:r>
        <w:rPr>
          <w:rFonts w:ascii="Times New Roman" w:hAnsi="Times New Roman" w:cs="Times New Roman"/>
          <w:b w:val="0"/>
        </w:rPr>
        <w:t>w</w:t>
      </w:r>
      <w:r w:rsidRPr="00A47823">
        <w:rPr>
          <w:rFonts w:ascii="Times New Roman" w:hAnsi="Times New Roman" w:cs="Times New Roman"/>
          <w:b w:val="0"/>
        </w:rPr>
        <w:t xml:space="preserve">ork </w:t>
      </w:r>
      <w:r>
        <w:rPr>
          <w:rFonts w:ascii="Times New Roman" w:hAnsi="Times New Roman" w:cs="Times New Roman"/>
          <w:b w:val="0"/>
        </w:rPr>
        <w:t>p</w:t>
      </w:r>
      <w:r w:rsidRPr="00A47823">
        <w:rPr>
          <w:rFonts w:ascii="Times New Roman" w:hAnsi="Times New Roman" w:cs="Times New Roman"/>
          <w:b w:val="0"/>
        </w:rPr>
        <w:t>rogram</w:t>
      </w:r>
      <w:r>
        <w:rPr>
          <w:rFonts w:ascii="Times New Roman" w:hAnsi="Times New Roman" w:cs="Times New Roman"/>
          <w:b w:val="0"/>
        </w:rPr>
        <w:t>me</w:t>
      </w:r>
      <w:r w:rsidRPr="00A47823">
        <w:rPr>
          <w:rFonts w:ascii="Times New Roman" w:hAnsi="Times New Roman" w:cs="Times New Roman"/>
          <w:b w:val="0"/>
        </w:rPr>
        <w:t xml:space="preserve"> </w:t>
      </w:r>
      <w:r>
        <w:rPr>
          <w:rFonts w:ascii="Times New Roman" w:hAnsi="Times New Roman" w:cs="Times New Roman"/>
          <w:b w:val="0"/>
        </w:rPr>
        <w:t xml:space="preserve">for </w:t>
      </w:r>
      <w:r w:rsidRPr="00A47823">
        <w:rPr>
          <w:rFonts w:ascii="Times New Roman" w:hAnsi="Times New Roman" w:cs="Times New Roman"/>
          <w:b w:val="0"/>
        </w:rPr>
        <w:t xml:space="preserve">2019 </w:t>
      </w:r>
      <w:r>
        <w:rPr>
          <w:rFonts w:ascii="Times New Roman" w:hAnsi="Times New Roman" w:cs="Times New Roman"/>
          <w:b w:val="0"/>
        </w:rPr>
        <w:t>which could</w:t>
      </w:r>
      <w:r w:rsidRPr="00A47823">
        <w:rPr>
          <w:rFonts w:ascii="Times New Roman" w:hAnsi="Times New Roman" w:cs="Times New Roman"/>
          <w:b w:val="0"/>
        </w:rPr>
        <w:t xml:space="preserve"> lead to a formation of a</w:t>
      </w:r>
      <w:r>
        <w:rPr>
          <w:rFonts w:ascii="Times New Roman" w:hAnsi="Times New Roman" w:cs="Times New Roman"/>
          <w:b w:val="0"/>
        </w:rPr>
        <w:t>n</w:t>
      </w:r>
      <w:r w:rsidRPr="00A47823">
        <w:rPr>
          <w:rFonts w:ascii="Times New Roman" w:hAnsi="Times New Roman" w:cs="Times New Roman"/>
          <w:b w:val="0"/>
        </w:rPr>
        <w:t xml:space="preserve"> </w:t>
      </w:r>
      <w:r>
        <w:rPr>
          <w:rFonts w:ascii="Times New Roman" w:hAnsi="Times New Roman" w:cs="Times New Roman"/>
          <w:b w:val="0"/>
        </w:rPr>
        <w:t>E</w:t>
      </w:r>
      <w:r w:rsidRPr="00A47823">
        <w:rPr>
          <w:rFonts w:ascii="Times New Roman" w:hAnsi="Times New Roman" w:cs="Times New Roman"/>
          <w:b w:val="0"/>
        </w:rPr>
        <w:t xml:space="preserve">xpert </w:t>
      </w:r>
      <w:r>
        <w:rPr>
          <w:rFonts w:ascii="Times New Roman" w:hAnsi="Times New Roman" w:cs="Times New Roman"/>
          <w:b w:val="0"/>
        </w:rPr>
        <w:t>G</w:t>
      </w:r>
      <w:r w:rsidRPr="00A47823">
        <w:rPr>
          <w:rFonts w:ascii="Times New Roman" w:hAnsi="Times New Roman" w:cs="Times New Roman"/>
          <w:b w:val="0"/>
        </w:rPr>
        <w:t xml:space="preserve">roup </w:t>
      </w:r>
      <w:r>
        <w:rPr>
          <w:rFonts w:ascii="Times New Roman" w:hAnsi="Times New Roman" w:cs="Times New Roman"/>
          <w:b w:val="0"/>
        </w:rPr>
        <w:t xml:space="preserve">Fish </w:t>
      </w:r>
      <w:r w:rsidRPr="00A47823">
        <w:rPr>
          <w:rFonts w:ascii="Times New Roman" w:hAnsi="Times New Roman" w:cs="Times New Roman"/>
          <w:b w:val="0"/>
        </w:rPr>
        <w:t>in 2020</w:t>
      </w:r>
      <w:r w:rsidR="000912CA">
        <w:rPr>
          <w:rFonts w:ascii="Times New Roman" w:hAnsi="Times New Roman" w:cs="Times New Roman"/>
          <w:b w:val="0"/>
        </w:rPr>
        <w:t>. T</w:t>
      </w:r>
      <w:r w:rsidRPr="00A47823">
        <w:rPr>
          <w:rFonts w:ascii="Times New Roman" w:hAnsi="Times New Roman" w:cs="Times New Roman"/>
          <w:b w:val="0"/>
        </w:rPr>
        <w:t xml:space="preserve">he aim </w:t>
      </w:r>
      <w:r w:rsidR="000912CA">
        <w:rPr>
          <w:rFonts w:ascii="Times New Roman" w:hAnsi="Times New Roman" w:cs="Times New Roman"/>
          <w:b w:val="0"/>
        </w:rPr>
        <w:t xml:space="preserve">after 2019 could be </w:t>
      </w:r>
      <w:r w:rsidRPr="00A47823">
        <w:rPr>
          <w:rFonts w:ascii="Times New Roman" w:hAnsi="Times New Roman" w:cs="Times New Roman"/>
          <w:b w:val="0"/>
        </w:rPr>
        <w:t xml:space="preserve">to </w:t>
      </w:r>
      <w:r>
        <w:rPr>
          <w:rFonts w:ascii="Times New Roman" w:hAnsi="Times New Roman" w:cs="Times New Roman"/>
          <w:b w:val="0"/>
        </w:rPr>
        <w:t xml:space="preserve">further elaborate and </w:t>
      </w:r>
      <w:r w:rsidRPr="00A47823">
        <w:rPr>
          <w:rFonts w:ascii="Times New Roman" w:hAnsi="Times New Roman" w:cs="Times New Roman"/>
          <w:b w:val="0"/>
        </w:rPr>
        <w:t xml:space="preserve">implement the Swimway </w:t>
      </w:r>
      <w:r>
        <w:rPr>
          <w:rFonts w:ascii="Times New Roman" w:hAnsi="Times New Roman" w:cs="Times New Roman"/>
          <w:b w:val="0"/>
        </w:rPr>
        <w:t>A</w:t>
      </w:r>
      <w:r w:rsidRPr="00A47823">
        <w:rPr>
          <w:rFonts w:ascii="Times New Roman" w:hAnsi="Times New Roman" w:cs="Times New Roman"/>
          <w:b w:val="0"/>
        </w:rPr>
        <w:t xml:space="preserve">ction </w:t>
      </w:r>
      <w:r>
        <w:rPr>
          <w:rFonts w:ascii="Times New Roman" w:hAnsi="Times New Roman" w:cs="Times New Roman"/>
          <w:b w:val="0"/>
        </w:rPr>
        <w:t>P</w:t>
      </w:r>
      <w:r w:rsidRPr="00A47823">
        <w:rPr>
          <w:rFonts w:ascii="Times New Roman" w:hAnsi="Times New Roman" w:cs="Times New Roman"/>
          <w:b w:val="0"/>
        </w:rPr>
        <w:t>rogram</w:t>
      </w:r>
      <w:r>
        <w:rPr>
          <w:rFonts w:ascii="Times New Roman" w:hAnsi="Times New Roman" w:cs="Times New Roman"/>
          <w:b w:val="0"/>
        </w:rPr>
        <w:t>me</w:t>
      </w:r>
      <w:r w:rsidRPr="00A47823">
        <w:rPr>
          <w:rFonts w:ascii="Times New Roman" w:hAnsi="Times New Roman" w:cs="Times New Roman"/>
          <w:b w:val="0"/>
        </w:rPr>
        <w:t xml:space="preserve"> </w:t>
      </w:r>
      <w:r w:rsidRPr="00A47823">
        <w:rPr>
          <w:rFonts w:ascii="Times New Roman" w:hAnsi="Times New Roman" w:cs="Times New Roman"/>
          <w:b w:val="0"/>
          <w:szCs w:val="22"/>
        </w:rPr>
        <w:t>as an integrated approach to achiev</w:t>
      </w:r>
      <w:r>
        <w:rPr>
          <w:rFonts w:ascii="Times New Roman" w:hAnsi="Times New Roman" w:cs="Times New Roman"/>
          <w:b w:val="0"/>
          <w:szCs w:val="22"/>
        </w:rPr>
        <w:t>e</w:t>
      </w:r>
      <w:r w:rsidRPr="00A47823">
        <w:rPr>
          <w:rFonts w:ascii="Times New Roman" w:hAnsi="Times New Roman" w:cs="Times New Roman"/>
          <w:b w:val="0"/>
          <w:szCs w:val="22"/>
        </w:rPr>
        <w:t xml:space="preserve"> the Trilateral Fish Targets as instructed in </w:t>
      </w:r>
      <w:r>
        <w:rPr>
          <w:rFonts w:ascii="Times New Roman" w:hAnsi="Times New Roman" w:cs="Times New Roman"/>
          <w:b w:val="0"/>
          <w:szCs w:val="22"/>
        </w:rPr>
        <w:t>para</w:t>
      </w:r>
      <w:r w:rsidR="00B26CED">
        <w:rPr>
          <w:rFonts w:ascii="Times New Roman" w:hAnsi="Times New Roman" w:cs="Times New Roman"/>
          <w:b w:val="0"/>
          <w:szCs w:val="22"/>
        </w:rPr>
        <w:t>.</w:t>
      </w:r>
      <w:r>
        <w:rPr>
          <w:rFonts w:ascii="Times New Roman" w:hAnsi="Times New Roman" w:cs="Times New Roman"/>
          <w:b w:val="0"/>
          <w:szCs w:val="22"/>
        </w:rPr>
        <w:t xml:space="preserve"> </w:t>
      </w:r>
      <w:r w:rsidRPr="00A47823">
        <w:rPr>
          <w:rFonts w:ascii="Times New Roman" w:hAnsi="Times New Roman" w:cs="Times New Roman"/>
          <w:b w:val="0"/>
          <w:szCs w:val="22"/>
        </w:rPr>
        <w:t>13 and Annex 3 of the Leeuwarden Declaration</w:t>
      </w:r>
      <w:r>
        <w:rPr>
          <w:rFonts w:ascii="Times New Roman" w:hAnsi="Times New Roman" w:cs="Times New Roman"/>
          <w:b w:val="0"/>
          <w:szCs w:val="22"/>
        </w:rPr>
        <w:t xml:space="preserve"> (LD)</w:t>
      </w:r>
      <w:r w:rsidRPr="00A47823">
        <w:rPr>
          <w:rFonts w:ascii="Times New Roman" w:hAnsi="Times New Roman" w:cs="Times New Roman"/>
          <w:b w:val="0"/>
          <w:szCs w:val="22"/>
        </w:rPr>
        <w:t>.</w:t>
      </w:r>
    </w:p>
    <w:p w14:paraId="5A4608A1" w14:textId="77777777" w:rsidR="00683EC9" w:rsidRPr="00A47823" w:rsidRDefault="00683EC9" w:rsidP="00683EC9">
      <w:pPr>
        <w:pStyle w:val="Untertitel1"/>
        <w:rPr>
          <w:rFonts w:ascii="Times New Roman" w:hAnsi="Times New Roman" w:cs="Times New Roman"/>
          <w:b w:val="0"/>
          <w:szCs w:val="22"/>
        </w:rPr>
      </w:pPr>
    </w:p>
    <w:p w14:paraId="4BC5DBA9" w14:textId="77777777" w:rsidR="00683EC9" w:rsidRPr="009F4B13" w:rsidRDefault="00683EC9" w:rsidP="00683EC9">
      <w:pPr>
        <w:pStyle w:val="Untertitel1"/>
        <w:rPr>
          <w:szCs w:val="22"/>
        </w:rPr>
      </w:pPr>
      <w:r w:rsidRPr="009F4B13">
        <w:rPr>
          <w:szCs w:val="22"/>
        </w:rPr>
        <w:t>Tasks</w:t>
      </w:r>
    </w:p>
    <w:p w14:paraId="0088ADB4" w14:textId="7629E533" w:rsidR="00683EC9" w:rsidRPr="00A47823" w:rsidRDefault="00683EC9" w:rsidP="0072551F">
      <w:pPr>
        <w:pStyle w:val="Listenabsatz"/>
        <w:numPr>
          <w:ilvl w:val="0"/>
          <w:numId w:val="31"/>
        </w:numPr>
        <w:spacing w:after="0" w:line="240" w:lineRule="auto"/>
        <w:rPr>
          <w:rFonts w:eastAsia="Times New Roman"/>
          <w:bCs/>
          <w:color w:val="000000"/>
          <w:lang w:val="en-US" w:eastAsia="da-DK"/>
        </w:rPr>
      </w:pPr>
      <w:r>
        <w:rPr>
          <w:rFonts w:eastAsia="Times New Roman"/>
          <w:bCs/>
          <w:color w:val="000000"/>
          <w:lang w:eastAsia="da-DK"/>
        </w:rPr>
        <w:t>Coordination and implementation of the Swimway Vision and the further elaboration of the Swimway Action Programme</w:t>
      </w:r>
      <w:r w:rsidR="00A0089A">
        <w:rPr>
          <w:rFonts w:eastAsia="Times New Roman"/>
          <w:bCs/>
          <w:color w:val="000000"/>
          <w:lang w:val="en-US" w:eastAsia="da-DK"/>
        </w:rPr>
        <w:t>;</w:t>
      </w:r>
    </w:p>
    <w:p w14:paraId="167C7490" w14:textId="68E9D731" w:rsidR="00683EC9" w:rsidRPr="00A47823" w:rsidRDefault="00683EC9" w:rsidP="0072551F">
      <w:pPr>
        <w:pStyle w:val="Listenabsatz"/>
        <w:numPr>
          <w:ilvl w:val="0"/>
          <w:numId w:val="31"/>
        </w:numPr>
        <w:spacing w:after="0" w:line="240" w:lineRule="auto"/>
        <w:rPr>
          <w:rFonts w:eastAsia="Times New Roman"/>
          <w:bCs/>
          <w:color w:val="000000"/>
          <w:lang w:val="en-US" w:eastAsia="da-DK"/>
        </w:rPr>
      </w:pPr>
      <w:r>
        <w:rPr>
          <w:rFonts w:eastAsia="Times New Roman"/>
          <w:bCs/>
          <w:color w:val="000000"/>
          <w:lang w:val="en-US" w:eastAsia="da-DK"/>
        </w:rPr>
        <w:t xml:space="preserve">Elaborate </w:t>
      </w:r>
      <w:r w:rsidR="00C5066C">
        <w:rPr>
          <w:rFonts w:eastAsia="Times New Roman"/>
          <w:bCs/>
          <w:color w:val="000000"/>
          <w:lang w:val="en-US" w:eastAsia="da-DK"/>
        </w:rPr>
        <w:t>TOR</w:t>
      </w:r>
      <w:r>
        <w:rPr>
          <w:rFonts w:eastAsia="Times New Roman"/>
          <w:bCs/>
          <w:color w:val="000000"/>
          <w:lang w:val="en-US" w:eastAsia="da-DK"/>
        </w:rPr>
        <w:t xml:space="preserve"> and a work plan for a possible Expert Group Fish</w:t>
      </w:r>
      <w:r w:rsidR="00A0089A">
        <w:rPr>
          <w:rFonts w:eastAsia="Times New Roman"/>
          <w:bCs/>
          <w:color w:val="000000"/>
          <w:lang w:val="en-US" w:eastAsia="da-DK"/>
        </w:rPr>
        <w:t>;</w:t>
      </w:r>
    </w:p>
    <w:p w14:paraId="3F906532" w14:textId="655FD737" w:rsidR="00683EC9" w:rsidRPr="00A47823" w:rsidRDefault="00683EC9" w:rsidP="0072551F">
      <w:pPr>
        <w:pStyle w:val="Listenabsatz"/>
        <w:numPr>
          <w:ilvl w:val="0"/>
          <w:numId w:val="31"/>
        </w:numPr>
        <w:spacing w:after="0" w:line="240" w:lineRule="auto"/>
        <w:rPr>
          <w:rFonts w:eastAsia="Times New Roman"/>
          <w:bCs/>
          <w:color w:val="000000"/>
          <w:lang w:val="en-US" w:eastAsia="da-DK"/>
        </w:rPr>
      </w:pPr>
      <w:r>
        <w:rPr>
          <w:rFonts w:eastAsia="Times New Roman"/>
          <w:bCs/>
          <w:color w:val="000000"/>
          <w:lang w:val="en-US" w:eastAsia="da-DK"/>
        </w:rPr>
        <w:t xml:space="preserve">Initiate activities as described in the above-mentioned </w:t>
      </w:r>
      <w:r w:rsidR="00BF041F">
        <w:rPr>
          <w:rFonts w:eastAsia="Times New Roman"/>
          <w:bCs/>
          <w:color w:val="000000"/>
          <w:lang w:val="en-US" w:eastAsia="da-DK"/>
        </w:rPr>
        <w:t>work</w:t>
      </w:r>
      <w:r w:rsidR="00BF041F" w:rsidRPr="00AA6371">
        <w:rPr>
          <w:lang w:eastAsia="de-DE"/>
        </w:rPr>
        <w:t xml:space="preserve"> program</w:t>
      </w:r>
      <w:r w:rsidR="00BF041F">
        <w:rPr>
          <w:lang w:eastAsia="de-DE"/>
        </w:rPr>
        <w:t>me</w:t>
      </w:r>
      <w:r w:rsidR="00BF041F" w:rsidRPr="00AA6371">
        <w:rPr>
          <w:lang w:eastAsia="de-DE"/>
        </w:rPr>
        <w:t xml:space="preserve"> </w:t>
      </w:r>
      <w:r>
        <w:rPr>
          <w:rFonts w:eastAsia="Times New Roman"/>
          <w:bCs/>
          <w:color w:val="000000"/>
          <w:lang w:val="en-US" w:eastAsia="da-DK"/>
        </w:rPr>
        <w:t>for 2019</w:t>
      </w:r>
      <w:r w:rsidR="00A0089A">
        <w:rPr>
          <w:rFonts w:eastAsia="Times New Roman"/>
          <w:bCs/>
          <w:color w:val="000000"/>
          <w:lang w:val="en-US" w:eastAsia="da-DK"/>
        </w:rPr>
        <w:t>;</w:t>
      </w:r>
    </w:p>
    <w:p w14:paraId="21870CF0" w14:textId="77777777" w:rsidR="00683EC9" w:rsidRPr="00A47823" w:rsidRDefault="00683EC9" w:rsidP="0072551F">
      <w:pPr>
        <w:pStyle w:val="Listenabsatz"/>
        <w:numPr>
          <w:ilvl w:val="0"/>
          <w:numId w:val="31"/>
        </w:numPr>
        <w:spacing w:after="0" w:line="240" w:lineRule="auto"/>
        <w:rPr>
          <w:rFonts w:eastAsia="Times New Roman"/>
          <w:bCs/>
          <w:color w:val="000000"/>
          <w:lang w:val="en-US" w:eastAsia="da-DK"/>
        </w:rPr>
      </w:pPr>
      <w:r>
        <w:rPr>
          <w:rFonts w:eastAsia="Times New Roman"/>
          <w:bCs/>
          <w:color w:val="000000"/>
          <w:lang w:val="en-US" w:eastAsia="da-DK"/>
        </w:rPr>
        <w:lastRenderedPageBreak/>
        <w:t>Prepare, organize and hold a “Swimway Summit” event in October 2019 for stakeholders and key participants</w:t>
      </w:r>
      <w:r w:rsidRPr="00A47823">
        <w:rPr>
          <w:rFonts w:eastAsia="Times New Roman"/>
          <w:bCs/>
          <w:color w:val="000000"/>
          <w:lang w:val="en-US" w:eastAsia="da-DK"/>
        </w:rPr>
        <w:t xml:space="preserve"> etc.</w:t>
      </w:r>
    </w:p>
    <w:p w14:paraId="55082635" w14:textId="77777777" w:rsidR="00683EC9" w:rsidRPr="00A47823" w:rsidRDefault="00683EC9" w:rsidP="00683EC9">
      <w:pPr>
        <w:pStyle w:val="Untertitel1"/>
        <w:rPr>
          <w:rFonts w:ascii="Times New Roman" w:hAnsi="Times New Roman" w:cs="Times New Roman"/>
          <w:b w:val="0"/>
          <w:szCs w:val="22"/>
        </w:rPr>
      </w:pPr>
    </w:p>
    <w:p w14:paraId="34AEA2FC" w14:textId="77777777" w:rsidR="00683EC9" w:rsidRPr="009F4B13" w:rsidRDefault="00683EC9" w:rsidP="00683EC9">
      <w:pPr>
        <w:pStyle w:val="Untertitel1"/>
        <w:rPr>
          <w:b w:val="0"/>
          <w:szCs w:val="22"/>
        </w:rPr>
      </w:pPr>
      <w:r w:rsidRPr="009F4B13">
        <w:t>Deliverables</w:t>
      </w:r>
    </w:p>
    <w:p w14:paraId="2AAF6E52" w14:textId="71D69A1C" w:rsidR="00683EC9" w:rsidRPr="00A47823" w:rsidRDefault="00683EC9" w:rsidP="00410F47">
      <w:pPr>
        <w:pStyle w:val="Untertitel1"/>
        <w:numPr>
          <w:ilvl w:val="0"/>
          <w:numId w:val="32"/>
        </w:numPr>
        <w:spacing w:after="0"/>
        <w:rPr>
          <w:rFonts w:ascii="Times New Roman" w:hAnsi="Times New Roman" w:cs="Times New Roman"/>
          <w:b w:val="0"/>
          <w:color w:val="000000" w:themeColor="text1"/>
        </w:rPr>
      </w:pPr>
      <w:r w:rsidRPr="00A47823">
        <w:rPr>
          <w:rFonts w:ascii="Times New Roman" w:hAnsi="Times New Roman" w:cs="Times New Roman"/>
          <w:b w:val="0"/>
          <w:szCs w:val="22"/>
        </w:rPr>
        <w:t xml:space="preserve">The specific deliveries corresponding to each of the above listed tasks will take place according to the </w:t>
      </w:r>
      <w:r>
        <w:rPr>
          <w:rFonts w:ascii="Times New Roman" w:hAnsi="Times New Roman" w:cs="Times New Roman"/>
          <w:b w:val="0"/>
          <w:szCs w:val="22"/>
        </w:rPr>
        <w:t xml:space="preserve">above mentioned </w:t>
      </w:r>
      <w:r w:rsidRPr="00A47823">
        <w:rPr>
          <w:rFonts w:ascii="Times New Roman" w:hAnsi="Times New Roman" w:cs="Times New Roman"/>
          <w:b w:val="0"/>
          <w:szCs w:val="22"/>
        </w:rPr>
        <w:t xml:space="preserve">Swimway </w:t>
      </w:r>
      <w:r>
        <w:rPr>
          <w:rFonts w:ascii="Times New Roman" w:hAnsi="Times New Roman" w:cs="Times New Roman"/>
          <w:b w:val="0"/>
          <w:szCs w:val="22"/>
        </w:rPr>
        <w:t>w</w:t>
      </w:r>
      <w:r w:rsidRPr="00A47823">
        <w:rPr>
          <w:rFonts w:ascii="Times New Roman" w:hAnsi="Times New Roman" w:cs="Times New Roman"/>
          <w:b w:val="0"/>
          <w:szCs w:val="22"/>
        </w:rPr>
        <w:t xml:space="preserve">ork </w:t>
      </w:r>
      <w:r>
        <w:rPr>
          <w:rFonts w:ascii="Times New Roman" w:hAnsi="Times New Roman" w:cs="Times New Roman"/>
          <w:b w:val="0"/>
          <w:szCs w:val="22"/>
        </w:rPr>
        <w:t>p</w:t>
      </w:r>
      <w:r w:rsidRPr="00A47823">
        <w:rPr>
          <w:rFonts w:ascii="Times New Roman" w:hAnsi="Times New Roman" w:cs="Times New Roman"/>
          <w:b w:val="0"/>
          <w:szCs w:val="22"/>
        </w:rPr>
        <w:t>rogram</w:t>
      </w:r>
      <w:r>
        <w:rPr>
          <w:rFonts w:ascii="Times New Roman" w:hAnsi="Times New Roman" w:cs="Times New Roman"/>
          <w:b w:val="0"/>
          <w:szCs w:val="22"/>
        </w:rPr>
        <w:t>me</w:t>
      </w:r>
      <w:r w:rsidR="0058632E">
        <w:rPr>
          <w:rFonts w:ascii="Times New Roman" w:hAnsi="Times New Roman" w:cs="Times New Roman"/>
          <w:b w:val="0"/>
          <w:szCs w:val="22"/>
        </w:rPr>
        <w:t>;</w:t>
      </w:r>
    </w:p>
    <w:p w14:paraId="27281249" w14:textId="47F08E6A" w:rsidR="00683EC9" w:rsidRPr="00A47823" w:rsidRDefault="00683EC9" w:rsidP="00410F47">
      <w:pPr>
        <w:pStyle w:val="Untertitel1"/>
        <w:numPr>
          <w:ilvl w:val="0"/>
          <w:numId w:val="32"/>
        </w:numPr>
        <w:spacing w:after="0"/>
        <w:rPr>
          <w:rFonts w:ascii="Times New Roman" w:hAnsi="Times New Roman" w:cs="Times New Roman"/>
          <w:b w:val="0"/>
          <w:color w:val="000000" w:themeColor="text1"/>
        </w:rPr>
      </w:pPr>
      <w:r w:rsidRPr="00A47823">
        <w:rPr>
          <w:rFonts w:ascii="Times New Roman" w:hAnsi="Times New Roman" w:cs="Times New Roman"/>
          <w:b w:val="0"/>
          <w:szCs w:val="22"/>
        </w:rPr>
        <w:t xml:space="preserve"> Regular status reporting to TG-M regarding the implementation of the above tasks, including contributions to the on-going budget- and work</w:t>
      </w:r>
      <w:r w:rsidR="00BF041F">
        <w:rPr>
          <w:rFonts w:ascii="Times New Roman" w:hAnsi="Times New Roman" w:cs="Times New Roman"/>
          <w:b w:val="0"/>
          <w:szCs w:val="22"/>
        </w:rPr>
        <w:t xml:space="preserve"> </w:t>
      </w:r>
      <w:r w:rsidRPr="00A47823">
        <w:rPr>
          <w:rFonts w:ascii="Times New Roman" w:hAnsi="Times New Roman" w:cs="Times New Roman"/>
          <w:b w:val="0"/>
          <w:szCs w:val="22"/>
        </w:rPr>
        <w:t>p</w:t>
      </w:r>
      <w:r w:rsidR="00BF041F">
        <w:rPr>
          <w:rFonts w:ascii="Times New Roman" w:hAnsi="Times New Roman" w:cs="Times New Roman"/>
          <w:b w:val="0"/>
          <w:szCs w:val="22"/>
        </w:rPr>
        <w:t>rogramme</w:t>
      </w:r>
      <w:r w:rsidRPr="00A47823">
        <w:rPr>
          <w:rFonts w:ascii="Times New Roman" w:hAnsi="Times New Roman" w:cs="Times New Roman"/>
          <w:b w:val="0"/>
          <w:szCs w:val="22"/>
        </w:rPr>
        <w:t xml:space="preserve"> control </w:t>
      </w:r>
      <w:r>
        <w:rPr>
          <w:rFonts w:ascii="Times New Roman" w:hAnsi="Times New Roman" w:cs="Times New Roman"/>
          <w:b w:val="0"/>
          <w:szCs w:val="22"/>
        </w:rPr>
        <w:t>by</w:t>
      </w:r>
      <w:r w:rsidRPr="00A47823">
        <w:rPr>
          <w:rFonts w:ascii="Times New Roman" w:hAnsi="Times New Roman" w:cs="Times New Roman"/>
          <w:b w:val="0"/>
          <w:szCs w:val="22"/>
        </w:rPr>
        <w:t xml:space="preserve"> CWSS</w:t>
      </w:r>
      <w:r w:rsidR="0058632E">
        <w:rPr>
          <w:rFonts w:ascii="Times New Roman" w:hAnsi="Times New Roman" w:cs="Times New Roman"/>
          <w:b w:val="0"/>
          <w:szCs w:val="22"/>
        </w:rPr>
        <w:t>;</w:t>
      </w:r>
    </w:p>
    <w:p w14:paraId="475253D5" w14:textId="245FC857" w:rsidR="00683EC9" w:rsidRPr="00A47823" w:rsidRDefault="00683EC9" w:rsidP="00410F47">
      <w:pPr>
        <w:pStyle w:val="Untertitel1"/>
        <w:numPr>
          <w:ilvl w:val="0"/>
          <w:numId w:val="32"/>
        </w:numPr>
        <w:spacing w:after="0"/>
        <w:rPr>
          <w:rFonts w:ascii="Times New Roman" w:hAnsi="Times New Roman" w:cs="Times New Roman"/>
          <w:b w:val="0"/>
          <w:color w:val="000000" w:themeColor="text1"/>
        </w:rPr>
      </w:pPr>
      <w:r w:rsidRPr="00A47823">
        <w:rPr>
          <w:rFonts w:ascii="Times New Roman" w:hAnsi="Times New Roman" w:cs="Times New Roman"/>
          <w:b w:val="0"/>
          <w:szCs w:val="22"/>
        </w:rPr>
        <w:t xml:space="preserve">A final report from the group on the overall status of the implementation of the Swimway Vision, as a </w:t>
      </w:r>
      <w:r>
        <w:rPr>
          <w:rFonts w:ascii="Times New Roman" w:hAnsi="Times New Roman" w:cs="Times New Roman"/>
          <w:b w:val="0"/>
          <w:szCs w:val="22"/>
        </w:rPr>
        <w:t xml:space="preserve">possible </w:t>
      </w:r>
      <w:r w:rsidRPr="00A47823">
        <w:rPr>
          <w:rFonts w:ascii="Times New Roman" w:hAnsi="Times New Roman" w:cs="Times New Roman"/>
          <w:b w:val="0"/>
          <w:szCs w:val="22"/>
        </w:rPr>
        <w:t xml:space="preserve">transition to the formation of </w:t>
      </w:r>
      <w:r>
        <w:rPr>
          <w:rFonts w:ascii="Times New Roman" w:hAnsi="Times New Roman" w:cs="Times New Roman"/>
          <w:b w:val="0"/>
          <w:szCs w:val="22"/>
        </w:rPr>
        <w:t>a</w:t>
      </w:r>
      <w:r w:rsidRPr="00A47823">
        <w:rPr>
          <w:rFonts w:ascii="Times New Roman" w:hAnsi="Times New Roman" w:cs="Times New Roman"/>
          <w:b w:val="0"/>
          <w:szCs w:val="22"/>
        </w:rPr>
        <w:t xml:space="preserve"> subsequent </w:t>
      </w:r>
      <w:r>
        <w:rPr>
          <w:rFonts w:ascii="Times New Roman" w:hAnsi="Times New Roman" w:cs="Times New Roman"/>
          <w:b w:val="0"/>
          <w:szCs w:val="22"/>
        </w:rPr>
        <w:t>E</w:t>
      </w:r>
      <w:r w:rsidRPr="00A47823">
        <w:rPr>
          <w:rFonts w:ascii="Times New Roman" w:hAnsi="Times New Roman" w:cs="Times New Roman"/>
          <w:b w:val="0"/>
          <w:szCs w:val="22"/>
        </w:rPr>
        <w:t xml:space="preserve">xpert </w:t>
      </w:r>
      <w:r>
        <w:rPr>
          <w:rFonts w:ascii="Times New Roman" w:hAnsi="Times New Roman" w:cs="Times New Roman"/>
          <w:b w:val="0"/>
          <w:szCs w:val="22"/>
        </w:rPr>
        <w:t>G</w:t>
      </w:r>
      <w:r w:rsidRPr="00A47823">
        <w:rPr>
          <w:rFonts w:ascii="Times New Roman" w:hAnsi="Times New Roman" w:cs="Times New Roman"/>
          <w:b w:val="0"/>
          <w:szCs w:val="22"/>
        </w:rPr>
        <w:t>roup</w:t>
      </w:r>
      <w:r>
        <w:rPr>
          <w:rFonts w:ascii="Times New Roman" w:hAnsi="Times New Roman" w:cs="Times New Roman"/>
          <w:b w:val="0"/>
          <w:szCs w:val="22"/>
        </w:rPr>
        <w:t xml:space="preserve"> Fish</w:t>
      </w:r>
      <w:r w:rsidR="0058632E">
        <w:rPr>
          <w:rFonts w:ascii="Times New Roman" w:hAnsi="Times New Roman" w:cs="Times New Roman"/>
          <w:b w:val="0"/>
          <w:szCs w:val="22"/>
        </w:rPr>
        <w:t>.</w:t>
      </w:r>
    </w:p>
    <w:p w14:paraId="3C670000" w14:textId="77777777" w:rsidR="00683EC9" w:rsidRPr="00A47823" w:rsidRDefault="00683EC9" w:rsidP="00683EC9">
      <w:pPr>
        <w:pStyle w:val="Untertitel1"/>
        <w:rPr>
          <w:rFonts w:ascii="Times New Roman" w:hAnsi="Times New Roman" w:cs="Times New Roman"/>
        </w:rPr>
      </w:pPr>
    </w:p>
    <w:p w14:paraId="5677CFDF" w14:textId="77777777" w:rsidR="00683EC9" w:rsidRPr="009F4B13" w:rsidRDefault="00683EC9" w:rsidP="00683EC9">
      <w:pPr>
        <w:pStyle w:val="Untertitel1"/>
      </w:pPr>
      <w:r w:rsidRPr="009F4B13">
        <w:t>Composition/Membership</w:t>
      </w:r>
    </w:p>
    <w:p w14:paraId="4D6E8FFA" w14:textId="2B676B94" w:rsidR="00683EC9" w:rsidRPr="00A47823" w:rsidRDefault="00683EC9" w:rsidP="00683EC9">
      <w:pPr>
        <w:pStyle w:val="Untertitel1"/>
        <w:rPr>
          <w:rFonts w:ascii="Times New Roman" w:hAnsi="Times New Roman" w:cs="Times New Roman"/>
          <w:b w:val="0"/>
          <w:color w:val="000000" w:themeColor="text1"/>
        </w:rPr>
      </w:pPr>
      <w:r w:rsidRPr="00A47823">
        <w:rPr>
          <w:rFonts w:ascii="Times New Roman" w:hAnsi="Times New Roman" w:cs="Times New Roman"/>
          <w:b w:val="0"/>
          <w:color w:val="000000" w:themeColor="text1"/>
        </w:rPr>
        <w:t xml:space="preserve">The </w:t>
      </w:r>
      <w:r w:rsidR="00CA774E">
        <w:rPr>
          <w:rFonts w:ascii="Times New Roman" w:hAnsi="Times New Roman" w:cs="Times New Roman"/>
          <w:b w:val="0"/>
          <w:color w:val="000000" w:themeColor="text1"/>
        </w:rPr>
        <w:t>a</w:t>
      </w:r>
      <w:r w:rsidR="000912CA" w:rsidRPr="00F331C7">
        <w:rPr>
          <w:rFonts w:ascii="Times New Roman" w:hAnsi="Times New Roman" w:cs="Times New Roman"/>
          <w:b w:val="0"/>
          <w:color w:val="000000" w:themeColor="text1"/>
        </w:rPr>
        <w:t>d</w:t>
      </w:r>
      <w:r w:rsidR="009C66D9">
        <w:rPr>
          <w:rFonts w:ascii="Times New Roman" w:hAnsi="Times New Roman" w:cs="Times New Roman"/>
          <w:b w:val="0"/>
          <w:color w:val="000000" w:themeColor="text1"/>
        </w:rPr>
        <w:t>-</w:t>
      </w:r>
      <w:r w:rsidR="000912CA" w:rsidRPr="00F331C7">
        <w:rPr>
          <w:rFonts w:ascii="Times New Roman" w:hAnsi="Times New Roman" w:cs="Times New Roman"/>
          <w:b w:val="0"/>
          <w:color w:val="000000" w:themeColor="text1"/>
        </w:rPr>
        <w:t>hoc Working Group Swimway Vision Initiation</w:t>
      </w:r>
      <w:r w:rsidR="000912CA" w:rsidRPr="00F331C7" w:rsidDel="00F331C7">
        <w:rPr>
          <w:rFonts w:ascii="Times New Roman" w:hAnsi="Times New Roman" w:cs="Times New Roman"/>
          <w:b w:val="0"/>
          <w:color w:val="000000" w:themeColor="text1"/>
        </w:rPr>
        <w:t xml:space="preserve"> </w:t>
      </w:r>
      <w:r w:rsidRPr="00A47823">
        <w:rPr>
          <w:rFonts w:ascii="Times New Roman" w:hAnsi="Times New Roman" w:cs="Times New Roman"/>
          <w:b w:val="0"/>
          <w:color w:val="000000" w:themeColor="text1"/>
        </w:rPr>
        <w:t xml:space="preserve">consists of the present Swimway </w:t>
      </w:r>
      <w:r w:rsidR="000912CA">
        <w:rPr>
          <w:rFonts w:ascii="Times New Roman" w:hAnsi="Times New Roman" w:cs="Times New Roman"/>
          <w:b w:val="0"/>
          <w:color w:val="000000" w:themeColor="text1"/>
        </w:rPr>
        <w:t xml:space="preserve">Vision and Action Programme </w:t>
      </w:r>
      <w:r w:rsidRPr="00A47823">
        <w:rPr>
          <w:rFonts w:ascii="Times New Roman" w:hAnsi="Times New Roman" w:cs="Times New Roman"/>
          <w:b w:val="0"/>
          <w:color w:val="000000" w:themeColor="text1"/>
        </w:rPr>
        <w:t>core-writing group plus the Swimway coordina</w:t>
      </w:r>
      <w:r w:rsidR="00BF041F">
        <w:rPr>
          <w:rFonts w:ascii="Times New Roman" w:hAnsi="Times New Roman" w:cs="Times New Roman"/>
          <w:b w:val="0"/>
          <w:color w:val="000000" w:themeColor="text1"/>
        </w:rPr>
        <w:t>tor</w:t>
      </w:r>
      <w:r w:rsidRPr="00A47823">
        <w:rPr>
          <w:rFonts w:ascii="Times New Roman" w:hAnsi="Times New Roman" w:cs="Times New Roman"/>
          <w:b w:val="0"/>
          <w:color w:val="000000" w:themeColor="text1"/>
        </w:rPr>
        <w:t xml:space="preserve">. </w:t>
      </w:r>
      <w:r w:rsidR="00A32C00">
        <w:rPr>
          <w:rFonts w:ascii="Times New Roman" w:hAnsi="Times New Roman" w:cs="Times New Roman"/>
          <w:b w:val="0"/>
          <w:color w:val="000000" w:themeColor="text1"/>
        </w:rPr>
        <w:t xml:space="preserve">The Swimway </w:t>
      </w:r>
      <w:r w:rsidR="009C66D9">
        <w:rPr>
          <w:rFonts w:ascii="Times New Roman" w:hAnsi="Times New Roman" w:cs="Times New Roman"/>
          <w:b w:val="0"/>
          <w:color w:val="000000" w:themeColor="text1"/>
        </w:rPr>
        <w:t>Coordinator</w:t>
      </w:r>
      <w:r w:rsidR="00A32C00">
        <w:rPr>
          <w:rFonts w:ascii="Times New Roman" w:hAnsi="Times New Roman" w:cs="Times New Roman"/>
          <w:b w:val="0"/>
          <w:color w:val="000000" w:themeColor="text1"/>
        </w:rPr>
        <w:t xml:space="preserve"> will be responsible for coordinating the ad</w:t>
      </w:r>
      <w:r w:rsidR="009C66D9">
        <w:rPr>
          <w:rFonts w:ascii="Times New Roman" w:hAnsi="Times New Roman" w:cs="Times New Roman"/>
          <w:b w:val="0"/>
          <w:color w:val="000000" w:themeColor="text1"/>
        </w:rPr>
        <w:t>-</w:t>
      </w:r>
      <w:r w:rsidR="00A32C00">
        <w:rPr>
          <w:rFonts w:ascii="Times New Roman" w:hAnsi="Times New Roman" w:cs="Times New Roman"/>
          <w:b w:val="0"/>
          <w:color w:val="000000" w:themeColor="text1"/>
        </w:rPr>
        <w:t xml:space="preserve">hoc Working Group. </w:t>
      </w:r>
      <w:r w:rsidRPr="00A47823">
        <w:rPr>
          <w:rFonts w:ascii="Times New Roman" w:hAnsi="Times New Roman" w:cs="Times New Roman"/>
          <w:b w:val="0"/>
          <w:color w:val="000000" w:themeColor="text1"/>
        </w:rPr>
        <w:t>The CWSS will take part in the meetings and will provide logistic and other assistance</w:t>
      </w:r>
      <w:r>
        <w:rPr>
          <w:rFonts w:ascii="Times New Roman" w:hAnsi="Times New Roman" w:cs="Times New Roman"/>
          <w:b w:val="0"/>
          <w:color w:val="000000" w:themeColor="text1"/>
        </w:rPr>
        <w:t>, as set out in the above-mentioned work programme</w:t>
      </w:r>
      <w:r w:rsidRPr="00A47823">
        <w:rPr>
          <w:rFonts w:ascii="Times New Roman" w:hAnsi="Times New Roman" w:cs="Times New Roman"/>
          <w:b w:val="0"/>
          <w:color w:val="000000" w:themeColor="text1"/>
        </w:rPr>
        <w:t>. The group can, in agreement with TG-M to whom they refer, supplement itself as needed, either on a temporary or a permanent basis.</w:t>
      </w:r>
    </w:p>
    <w:p w14:paraId="25964E3A" w14:textId="77777777" w:rsidR="00683EC9" w:rsidRPr="00A47823" w:rsidRDefault="00683EC9" w:rsidP="00683EC9">
      <w:pPr>
        <w:rPr>
          <w:highlight w:val="yellow"/>
        </w:rPr>
      </w:pPr>
    </w:p>
    <w:p w14:paraId="1243C9D6" w14:textId="77777777" w:rsidR="00683EC9" w:rsidRPr="009F4B13" w:rsidRDefault="00683EC9" w:rsidP="00683EC9">
      <w:pPr>
        <w:pStyle w:val="Untertitel1"/>
      </w:pPr>
      <w:r w:rsidRPr="009F4B13">
        <w:t>Time schedule</w:t>
      </w:r>
    </w:p>
    <w:p w14:paraId="4DA2C426" w14:textId="56AA5EEA" w:rsidR="00683EC9" w:rsidRPr="00A47823" w:rsidRDefault="00A32C00" w:rsidP="00683EC9">
      <w:r w:rsidRPr="00A47823">
        <w:t xml:space="preserve">The </w:t>
      </w:r>
      <w:r>
        <w:t>ad</w:t>
      </w:r>
      <w:r w:rsidR="009C66D9">
        <w:t>-</w:t>
      </w:r>
      <w:r>
        <w:t>hoc Working G</w:t>
      </w:r>
      <w:r w:rsidRPr="00A47823">
        <w:t xml:space="preserve">roup will work through </w:t>
      </w:r>
      <w:r w:rsidR="00683EC9" w:rsidRPr="00A47823">
        <w:t>2019</w:t>
      </w:r>
      <w:r w:rsidR="00A0089A">
        <w:t xml:space="preserve">, </w:t>
      </w:r>
      <w:r>
        <w:t xml:space="preserve">and </w:t>
      </w:r>
      <w:r w:rsidR="00A0089A">
        <w:t>could</w:t>
      </w:r>
      <w:r w:rsidR="00683EC9">
        <w:t xml:space="preserve"> </w:t>
      </w:r>
      <w:r w:rsidR="00683EC9" w:rsidRPr="00A47823">
        <w:t xml:space="preserve">cease to exist </w:t>
      </w:r>
      <w:r>
        <w:t>if</w:t>
      </w:r>
      <w:r w:rsidRPr="00A47823">
        <w:t xml:space="preserve"> </w:t>
      </w:r>
      <w:r w:rsidR="00683EC9" w:rsidRPr="00A47823">
        <w:t>a</w:t>
      </w:r>
      <w:r w:rsidR="00683EC9">
        <w:t>n</w:t>
      </w:r>
      <w:r w:rsidR="00683EC9" w:rsidRPr="00A47823">
        <w:t xml:space="preserve"> </w:t>
      </w:r>
      <w:r w:rsidR="00683EC9">
        <w:t>E</w:t>
      </w:r>
      <w:r w:rsidR="00683EC9" w:rsidRPr="00A47823">
        <w:t xml:space="preserve">xpert </w:t>
      </w:r>
      <w:r w:rsidR="00683EC9">
        <w:t>G</w:t>
      </w:r>
      <w:r w:rsidR="00683EC9" w:rsidRPr="00A47823">
        <w:t xml:space="preserve">roup </w:t>
      </w:r>
      <w:r w:rsidR="00683EC9">
        <w:t xml:space="preserve">Fish </w:t>
      </w:r>
      <w:r>
        <w:t>is</w:t>
      </w:r>
      <w:r w:rsidR="00683EC9" w:rsidRPr="00A47823">
        <w:t xml:space="preserve"> established</w:t>
      </w:r>
      <w:r w:rsidR="00683EC9">
        <w:t xml:space="preserve"> in 2020.</w:t>
      </w:r>
    </w:p>
    <w:p w14:paraId="268B8C83" w14:textId="37E74682" w:rsidR="00683EC9" w:rsidRDefault="00683EC9" w:rsidP="00BE5FA0">
      <w:pPr>
        <w:pStyle w:val="Textkrper1"/>
        <w:rPr>
          <w:rFonts w:ascii="Arial" w:hAnsi="Arial" w:cs="Arial"/>
          <w:b/>
          <w:sz w:val="24"/>
          <w:szCs w:val="28"/>
        </w:rPr>
      </w:pPr>
    </w:p>
    <w:p w14:paraId="3E88A8D7" w14:textId="1BC2221D" w:rsidR="00683EC9" w:rsidRDefault="00683EC9" w:rsidP="00BE5FA0">
      <w:pPr>
        <w:pStyle w:val="Textkrper1"/>
        <w:rPr>
          <w:rFonts w:ascii="Arial" w:hAnsi="Arial" w:cs="Arial"/>
          <w:b/>
          <w:sz w:val="24"/>
          <w:szCs w:val="28"/>
        </w:rPr>
      </w:pPr>
    </w:p>
    <w:p w14:paraId="01A37C7E" w14:textId="77EBABF6" w:rsidR="00683EC9" w:rsidRDefault="00683EC9" w:rsidP="00BE5FA0">
      <w:pPr>
        <w:pStyle w:val="Textkrper1"/>
        <w:rPr>
          <w:rFonts w:ascii="Arial" w:hAnsi="Arial" w:cs="Arial"/>
          <w:b/>
          <w:sz w:val="24"/>
          <w:szCs w:val="28"/>
        </w:rPr>
      </w:pPr>
    </w:p>
    <w:p w14:paraId="2730F36E" w14:textId="1BF79A1B" w:rsidR="00683EC9" w:rsidRDefault="00683EC9" w:rsidP="00BE5FA0">
      <w:pPr>
        <w:pStyle w:val="Textkrper1"/>
        <w:rPr>
          <w:rFonts w:ascii="Arial" w:hAnsi="Arial" w:cs="Arial"/>
          <w:b/>
          <w:sz w:val="24"/>
          <w:szCs w:val="28"/>
        </w:rPr>
      </w:pPr>
    </w:p>
    <w:p w14:paraId="04DFBACE" w14:textId="34ECDB71" w:rsidR="00683EC9" w:rsidRDefault="00683EC9" w:rsidP="00BE5FA0">
      <w:pPr>
        <w:pStyle w:val="Textkrper1"/>
        <w:rPr>
          <w:rFonts w:ascii="Arial" w:hAnsi="Arial" w:cs="Arial"/>
          <w:b/>
          <w:sz w:val="24"/>
          <w:szCs w:val="28"/>
        </w:rPr>
      </w:pPr>
    </w:p>
    <w:p w14:paraId="7DAB5557" w14:textId="30F5DBE6" w:rsidR="00683EC9" w:rsidRDefault="00683EC9" w:rsidP="00BE5FA0">
      <w:pPr>
        <w:pStyle w:val="Textkrper1"/>
        <w:rPr>
          <w:rFonts w:ascii="Arial" w:hAnsi="Arial" w:cs="Arial"/>
          <w:b/>
          <w:sz w:val="24"/>
          <w:szCs w:val="28"/>
        </w:rPr>
      </w:pPr>
    </w:p>
    <w:p w14:paraId="6301D29B" w14:textId="57F96C28" w:rsidR="00683EC9" w:rsidRDefault="00683EC9" w:rsidP="00BE5FA0">
      <w:pPr>
        <w:pStyle w:val="Textkrper1"/>
        <w:rPr>
          <w:rFonts w:ascii="Arial" w:hAnsi="Arial" w:cs="Arial"/>
          <w:b/>
          <w:sz w:val="24"/>
          <w:szCs w:val="28"/>
        </w:rPr>
      </w:pPr>
    </w:p>
    <w:p w14:paraId="16B7314C" w14:textId="0CEAE044" w:rsidR="00683EC9" w:rsidRDefault="00683EC9" w:rsidP="00BE5FA0">
      <w:pPr>
        <w:pStyle w:val="Textkrper1"/>
        <w:rPr>
          <w:rFonts w:ascii="Arial" w:hAnsi="Arial" w:cs="Arial"/>
          <w:b/>
          <w:sz w:val="24"/>
          <w:szCs w:val="28"/>
        </w:rPr>
      </w:pPr>
    </w:p>
    <w:p w14:paraId="29AA5843" w14:textId="0708C7BA" w:rsidR="00683EC9" w:rsidRDefault="00683EC9" w:rsidP="00BE5FA0">
      <w:pPr>
        <w:pStyle w:val="Textkrper1"/>
        <w:rPr>
          <w:rFonts w:ascii="Arial" w:hAnsi="Arial" w:cs="Arial"/>
          <w:b/>
          <w:sz w:val="24"/>
          <w:szCs w:val="28"/>
        </w:rPr>
      </w:pPr>
    </w:p>
    <w:p w14:paraId="76E2E5B0" w14:textId="799276D6" w:rsidR="00683EC9" w:rsidRDefault="00683EC9" w:rsidP="00BE5FA0">
      <w:pPr>
        <w:pStyle w:val="Textkrper1"/>
        <w:rPr>
          <w:rFonts w:ascii="Arial" w:hAnsi="Arial" w:cs="Arial"/>
          <w:b/>
          <w:sz w:val="24"/>
          <w:szCs w:val="28"/>
        </w:rPr>
      </w:pPr>
    </w:p>
    <w:p w14:paraId="02E5F126" w14:textId="4A60E697" w:rsidR="00683EC9" w:rsidRDefault="00683EC9" w:rsidP="00BE5FA0">
      <w:pPr>
        <w:pStyle w:val="Textkrper1"/>
        <w:rPr>
          <w:rFonts w:ascii="Arial" w:hAnsi="Arial" w:cs="Arial"/>
          <w:b/>
          <w:sz w:val="24"/>
          <w:szCs w:val="28"/>
        </w:rPr>
      </w:pPr>
    </w:p>
    <w:p w14:paraId="027B1A02" w14:textId="79F28E0B" w:rsidR="00683EC9" w:rsidRDefault="00683EC9" w:rsidP="00BE5FA0">
      <w:pPr>
        <w:pStyle w:val="Textkrper1"/>
        <w:rPr>
          <w:rFonts w:ascii="Arial" w:hAnsi="Arial" w:cs="Arial"/>
          <w:b/>
          <w:sz w:val="24"/>
          <w:szCs w:val="28"/>
        </w:rPr>
      </w:pPr>
    </w:p>
    <w:p w14:paraId="47E53601" w14:textId="263C2BEF" w:rsidR="00793462" w:rsidRDefault="00793462">
      <w:pPr>
        <w:rPr>
          <w:rFonts w:ascii="Arial" w:hAnsi="Arial"/>
          <w:color w:val="000000"/>
          <w:sz w:val="28"/>
          <w:szCs w:val="20"/>
          <w:lang w:eastAsia="de-DE"/>
        </w:rPr>
      </w:pPr>
    </w:p>
    <w:p w14:paraId="4D18DF29" w14:textId="6823FE71" w:rsidR="00D36297" w:rsidRPr="0061329F" w:rsidRDefault="00543779" w:rsidP="00D36297">
      <w:pPr>
        <w:pStyle w:val="berschrift1"/>
        <w:numPr>
          <w:ilvl w:val="0"/>
          <w:numId w:val="35"/>
        </w:numPr>
        <w:rPr>
          <w:rFonts w:cs="Arial"/>
          <w:szCs w:val="28"/>
        </w:rPr>
      </w:pPr>
      <w:r w:rsidRPr="00A364AE">
        <w:lastRenderedPageBreak/>
        <w:t>Operational Team Partnership Hub</w:t>
      </w:r>
      <w:r w:rsidR="0054433E" w:rsidRPr="00A364AE">
        <w:t xml:space="preserve"> (OPteamPH)</w:t>
      </w:r>
      <w:r w:rsidR="00D36297" w:rsidRPr="00D36297">
        <w:rPr>
          <w:rFonts w:cs="Arial"/>
          <w:szCs w:val="28"/>
        </w:rPr>
        <w:t xml:space="preserve"> </w:t>
      </w:r>
    </w:p>
    <w:p w14:paraId="0A5E8AF8" w14:textId="4FDB9A8B" w:rsidR="008B32C7" w:rsidRPr="00A364AE" w:rsidRDefault="008B32C7" w:rsidP="00FA025C">
      <w:pPr>
        <w:pStyle w:val="Header1centred"/>
      </w:pPr>
      <w:r w:rsidRPr="00A364AE">
        <w:t>Terms of Reference</w:t>
      </w:r>
    </w:p>
    <w:p w14:paraId="24D0DE64" w14:textId="77777777" w:rsidR="00A364AE" w:rsidRDefault="00A364AE" w:rsidP="00A364AE">
      <w:pPr>
        <w:pStyle w:val="Textkrper1"/>
      </w:pPr>
    </w:p>
    <w:p w14:paraId="51BBE79B" w14:textId="7B8FA44C" w:rsidR="00A364AE" w:rsidRPr="009F4B13" w:rsidRDefault="00A364AE" w:rsidP="00A364AE">
      <w:pPr>
        <w:pStyle w:val="Textkrper1"/>
        <w:rPr>
          <w:rFonts w:ascii="Arial" w:hAnsi="Arial" w:cs="Arial"/>
          <w:b/>
        </w:rPr>
      </w:pPr>
      <w:r w:rsidRPr="009F4B13">
        <w:rPr>
          <w:rFonts w:ascii="Arial" w:hAnsi="Arial" w:cs="Arial"/>
          <w:b/>
        </w:rPr>
        <w:t>Background</w:t>
      </w:r>
    </w:p>
    <w:p w14:paraId="4B6520A2" w14:textId="7A07F702" w:rsidR="00A364AE" w:rsidRPr="00A364AE" w:rsidRDefault="00A364AE" w:rsidP="00A364AE">
      <w:pPr>
        <w:autoSpaceDE w:val="0"/>
        <w:autoSpaceDN w:val="0"/>
        <w:adjustRightInd w:val="0"/>
        <w:spacing w:line="276" w:lineRule="auto"/>
        <w:rPr>
          <w:rFonts w:eastAsia="Calibri"/>
          <w:szCs w:val="22"/>
        </w:rPr>
      </w:pPr>
      <w:r w:rsidRPr="00A364AE">
        <w:rPr>
          <w:rFonts w:eastAsia="Calibri"/>
          <w:szCs w:val="22"/>
        </w:rPr>
        <w:t xml:space="preserve">The extension of the Wadden Sea World Heritage </w:t>
      </w:r>
      <w:r w:rsidR="00B26CED">
        <w:rPr>
          <w:rFonts w:eastAsia="Calibri"/>
          <w:szCs w:val="22"/>
        </w:rPr>
        <w:t xml:space="preserve">(WSWH) </w:t>
      </w:r>
      <w:r w:rsidRPr="00A364AE">
        <w:rPr>
          <w:rFonts w:eastAsia="Calibri"/>
          <w:szCs w:val="22"/>
        </w:rPr>
        <w:t xml:space="preserve">site with the Danish part in June 2014 has completed the inscription of the trilateral Wadden Sea on the World Heritage List. </w:t>
      </w:r>
      <w:r w:rsidRPr="00A364AE">
        <w:rPr>
          <w:rFonts w:eastAsia="MS Mincho"/>
          <w:szCs w:val="22"/>
        </w:rPr>
        <w:t>To jointly meet the full range of present and future challenges of enhancing sustainability, regional development</w:t>
      </w:r>
      <w:r w:rsidR="009C66D9">
        <w:rPr>
          <w:rFonts w:eastAsia="MS Mincho"/>
          <w:szCs w:val="22"/>
        </w:rPr>
        <w:t xml:space="preserve"> </w:t>
      </w:r>
      <w:r w:rsidR="00B26CED">
        <w:rPr>
          <w:rFonts w:eastAsia="MS Mincho"/>
          <w:szCs w:val="22"/>
        </w:rPr>
        <w:t>of the entire WSWH region</w:t>
      </w:r>
      <w:r w:rsidRPr="00A364AE">
        <w:rPr>
          <w:rFonts w:eastAsia="MS Mincho"/>
          <w:szCs w:val="22"/>
        </w:rPr>
        <w:t xml:space="preserve"> and nature protection in the </w:t>
      </w:r>
      <w:r w:rsidR="00B26CED">
        <w:rPr>
          <w:rFonts w:eastAsia="MS Mincho"/>
          <w:szCs w:val="22"/>
        </w:rPr>
        <w:t xml:space="preserve">WSWH </w:t>
      </w:r>
      <w:r w:rsidRPr="00A364AE">
        <w:rPr>
          <w:rFonts w:eastAsia="MS Mincho"/>
          <w:szCs w:val="22"/>
        </w:rPr>
        <w:t xml:space="preserve">Site while safeguarding it`s OUV and integrity, the </w:t>
      </w:r>
      <w:r w:rsidR="00B26CED">
        <w:rPr>
          <w:rFonts w:eastAsia="MS Mincho"/>
          <w:szCs w:val="22"/>
        </w:rPr>
        <w:t>T</w:t>
      </w:r>
      <w:r w:rsidRPr="00A364AE">
        <w:rPr>
          <w:rFonts w:eastAsia="MS Mincho"/>
          <w:szCs w:val="22"/>
        </w:rPr>
        <w:t xml:space="preserve">rilateral Wadden Sea Cooperation (TWSC) needs to further develop and supplement the current structures. </w:t>
      </w:r>
      <w:r w:rsidRPr="00A364AE">
        <w:rPr>
          <w:rFonts w:eastAsia="Calibri"/>
          <w:szCs w:val="22"/>
        </w:rPr>
        <w:t xml:space="preserve">By engaging with strategic partners from different sectors in a network approach, like green NGOs, local authorities, science, research and education, as well as the private sector, it is intended to realize the high potential of a strong </w:t>
      </w:r>
      <w:r w:rsidR="00B26CED">
        <w:rPr>
          <w:rFonts w:eastAsia="Calibri"/>
          <w:szCs w:val="22"/>
        </w:rPr>
        <w:t xml:space="preserve">WSWH </w:t>
      </w:r>
      <w:r w:rsidRPr="00A364AE">
        <w:rPr>
          <w:rFonts w:eastAsia="Calibri"/>
          <w:szCs w:val="22"/>
        </w:rPr>
        <w:t xml:space="preserve">brand as effectively as possible. The </w:t>
      </w:r>
      <w:r w:rsidRPr="00A364AE">
        <w:rPr>
          <w:rFonts w:eastAsia="MS Mincho"/>
          <w:szCs w:val="22"/>
        </w:rPr>
        <w:t>networking aims to enhance ownership and to build an extended and tight, multi-level, cross-border community to complement governmental and intergovernmental efforts.</w:t>
      </w:r>
      <w:r w:rsidRPr="00A364AE">
        <w:rPr>
          <w:rFonts w:eastAsia="Calibri"/>
          <w:szCs w:val="22"/>
        </w:rPr>
        <w:t xml:space="preserve"> It shall also complement and support partnership initiatives and -program</w:t>
      </w:r>
      <w:r w:rsidR="009F4B13">
        <w:rPr>
          <w:rFonts w:eastAsia="Calibri"/>
          <w:szCs w:val="22"/>
        </w:rPr>
        <w:t>me</w:t>
      </w:r>
      <w:r w:rsidRPr="00A364AE">
        <w:rPr>
          <w:rFonts w:eastAsia="Calibri"/>
          <w:szCs w:val="22"/>
        </w:rPr>
        <w:t xml:space="preserve">s at national or regional level. A future Partnership Hub could operate as a catalyst for innovative modes of cooperation. </w:t>
      </w:r>
    </w:p>
    <w:p w14:paraId="01A1D23A" w14:textId="77777777" w:rsidR="00A364AE" w:rsidRPr="00A364AE" w:rsidRDefault="00A364AE" w:rsidP="00A364AE">
      <w:pPr>
        <w:autoSpaceDE w:val="0"/>
        <w:autoSpaceDN w:val="0"/>
        <w:adjustRightInd w:val="0"/>
        <w:spacing w:line="276" w:lineRule="auto"/>
        <w:rPr>
          <w:rFonts w:eastAsia="Calibri"/>
          <w:szCs w:val="22"/>
        </w:rPr>
      </w:pPr>
    </w:p>
    <w:p w14:paraId="380AB9B6" w14:textId="76BB5606" w:rsidR="00A364AE" w:rsidRPr="00A364AE" w:rsidRDefault="00A364AE" w:rsidP="00A364AE">
      <w:pPr>
        <w:autoSpaceDE w:val="0"/>
        <w:autoSpaceDN w:val="0"/>
        <w:adjustRightInd w:val="0"/>
        <w:spacing w:line="276" w:lineRule="auto"/>
        <w:rPr>
          <w:rFonts w:eastAsia="Calibri"/>
          <w:b/>
          <w:szCs w:val="22"/>
        </w:rPr>
      </w:pPr>
      <w:r w:rsidRPr="00A364AE">
        <w:rPr>
          <w:rFonts w:eastAsiaTheme="minorHAnsi"/>
          <w:bCs/>
          <w:szCs w:val="22"/>
        </w:rPr>
        <w:t xml:space="preserve">As laid down in </w:t>
      </w:r>
      <w:r w:rsidR="00B26CED">
        <w:rPr>
          <w:rFonts w:eastAsiaTheme="minorHAnsi"/>
          <w:bCs/>
          <w:szCs w:val="22"/>
        </w:rPr>
        <w:t>para.</w:t>
      </w:r>
      <w:r w:rsidRPr="00A364AE">
        <w:rPr>
          <w:rFonts w:eastAsiaTheme="minorHAnsi"/>
          <w:bCs/>
          <w:szCs w:val="22"/>
        </w:rPr>
        <w:t xml:space="preserve"> 2 of the Leeuwarden Declaration, Ma</w:t>
      </w:r>
      <w:r w:rsidR="009F4B13">
        <w:rPr>
          <w:rFonts w:eastAsiaTheme="minorHAnsi"/>
          <w:bCs/>
          <w:szCs w:val="22"/>
        </w:rPr>
        <w:t>y</w:t>
      </w:r>
      <w:r w:rsidRPr="00A364AE">
        <w:rPr>
          <w:rFonts w:eastAsiaTheme="minorHAnsi"/>
          <w:bCs/>
          <w:szCs w:val="22"/>
        </w:rPr>
        <w:t xml:space="preserve"> 2018, the Ministers „Instruct </w:t>
      </w:r>
      <w:r w:rsidRPr="00A364AE">
        <w:rPr>
          <w:rFonts w:eastAsiaTheme="minorHAnsi"/>
          <w:szCs w:val="22"/>
        </w:rPr>
        <w:t xml:space="preserve">the Wadden Sea Board to further develop the Partnership Hub as a part of the future Partnership </w:t>
      </w:r>
      <w:r w:rsidR="00BB5933">
        <w:rPr>
          <w:rFonts w:eastAsiaTheme="minorHAnsi"/>
          <w:szCs w:val="22"/>
        </w:rPr>
        <w:t>Center</w:t>
      </w:r>
      <w:r w:rsidRPr="00A364AE">
        <w:rPr>
          <w:rFonts w:eastAsiaTheme="minorHAnsi"/>
          <w:szCs w:val="22"/>
        </w:rPr>
        <w:t xml:space="preserve"> together with the envisaged partner organisations and in partner networks across the Wadden Sea Region, which involve partners at local and regional level, and to conduct a pilot phase to be concluded by an evaluation in 2019.</w:t>
      </w:r>
    </w:p>
    <w:p w14:paraId="0E834F44" w14:textId="77777777" w:rsidR="00A364AE" w:rsidRPr="00A364AE" w:rsidRDefault="00A364AE" w:rsidP="00A364AE">
      <w:pPr>
        <w:autoSpaceDE w:val="0"/>
        <w:autoSpaceDN w:val="0"/>
        <w:adjustRightInd w:val="0"/>
        <w:rPr>
          <w:rFonts w:eastAsia="Calibri"/>
          <w:b/>
          <w:szCs w:val="22"/>
        </w:rPr>
      </w:pPr>
    </w:p>
    <w:p w14:paraId="21467EC3" w14:textId="77777777" w:rsidR="00A364AE" w:rsidRPr="009F4B13" w:rsidRDefault="00A364AE" w:rsidP="00A364AE">
      <w:pPr>
        <w:spacing w:after="160" w:line="276" w:lineRule="auto"/>
        <w:rPr>
          <w:rFonts w:ascii="Arial" w:eastAsia="Calibri" w:hAnsi="Arial" w:cs="Arial"/>
          <w:b/>
          <w:szCs w:val="22"/>
        </w:rPr>
      </w:pPr>
      <w:r w:rsidRPr="009F4B13">
        <w:rPr>
          <w:rFonts w:ascii="Arial" w:eastAsia="Calibri" w:hAnsi="Arial" w:cs="Arial"/>
          <w:b/>
          <w:szCs w:val="22"/>
        </w:rPr>
        <w:t>Objective</w:t>
      </w:r>
    </w:p>
    <w:p w14:paraId="2879C640" w14:textId="189FE145" w:rsidR="00A364AE" w:rsidRPr="00A364AE" w:rsidRDefault="00A364AE" w:rsidP="00A364AE">
      <w:pPr>
        <w:spacing w:after="160" w:line="276" w:lineRule="auto"/>
        <w:rPr>
          <w:rFonts w:eastAsia="Calibri"/>
          <w:szCs w:val="22"/>
        </w:rPr>
      </w:pPr>
      <w:r w:rsidRPr="00A364AE">
        <w:rPr>
          <w:rFonts w:eastAsia="Calibri"/>
          <w:szCs w:val="22"/>
        </w:rPr>
        <w:t>The purpose of the Operational Team Partnership Hub is to facilitate the start of the Partnership Hub by a pragmatic operational network approach together with selected actors/ representatives from sectors/ partner networks.</w:t>
      </w:r>
    </w:p>
    <w:p w14:paraId="2AA06264" w14:textId="77777777" w:rsidR="00A364AE" w:rsidRPr="009F4B13" w:rsidRDefault="00A364AE" w:rsidP="00A364AE">
      <w:pPr>
        <w:spacing w:after="160" w:line="254" w:lineRule="auto"/>
        <w:rPr>
          <w:rFonts w:ascii="Arial" w:eastAsia="Calibri" w:hAnsi="Arial" w:cs="Arial"/>
          <w:b/>
          <w:szCs w:val="22"/>
        </w:rPr>
      </w:pPr>
      <w:r w:rsidRPr="009F4B13">
        <w:rPr>
          <w:rFonts w:ascii="Arial" w:eastAsia="Calibri" w:hAnsi="Arial" w:cs="Arial"/>
          <w:b/>
          <w:szCs w:val="22"/>
        </w:rPr>
        <w:t>Tasks</w:t>
      </w:r>
    </w:p>
    <w:p w14:paraId="22839553" w14:textId="029F5876" w:rsidR="00A364AE" w:rsidRDefault="00A364AE" w:rsidP="0072551F">
      <w:pPr>
        <w:numPr>
          <w:ilvl w:val="0"/>
          <w:numId w:val="37"/>
        </w:numPr>
        <w:spacing w:line="254" w:lineRule="auto"/>
        <w:rPr>
          <w:rFonts w:eastAsia="Calibri"/>
          <w:szCs w:val="22"/>
        </w:rPr>
      </w:pPr>
      <w:r w:rsidRPr="00A364AE">
        <w:rPr>
          <w:rFonts w:eastAsia="Calibri"/>
          <w:szCs w:val="22"/>
        </w:rPr>
        <w:t xml:space="preserve">to approach potential strategic partners, </w:t>
      </w:r>
      <w:r w:rsidR="00A32C00">
        <w:rPr>
          <w:rFonts w:eastAsia="Calibri"/>
          <w:szCs w:val="22"/>
        </w:rPr>
        <w:br/>
      </w:r>
      <w:r w:rsidRPr="00A364AE">
        <w:rPr>
          <w:rFonts w:eastAsia="Calibri"/>
          <w:szCs w:val="22"/>
        </w:rPr>
        <w:t>WSB defined earlier, for instance: Wadden Sea Forum, Wadden Sea Team (green NGO’s), Research (Waddenacademie), Education (</w:t>
      </w:r>
      <w:r w:rsidR="00F8295E">
        <w:rPr>
          <w:rFonts w:eastAsia="Calibri"/>
          <w:szCs w:val="22"/>
        </w:rPr>
        <w:t xml:space="preserve">International </w:t>
      </w:r>
      <w:r w:rsidRPr="00A364AE">
        <w:rPr>
          <w:rFonts w:eastAsia="Calibri"/>
          <w:szCs w:val="22"/>
        </w:rPr>
        <w:t xml:space="preserve">Wadden Sea School), Sustainable Tourism Network; </w:t>
      </w:r>
      <w:r w:rsidR="00A32C00">
        <w:rPr>
          <w:rFonts w:eastAsia="Calibri"/>
          <w:szCs w:val="22"/>
        </w:rPr>
        <w:br/>
      </w:r>
      <w:r w:rsidRPr="00A364AE">
        <w:rPr>
          <w:rFonts w:eastAsia="Calibri"/>
          <w:szCs w:val="22"/>
        </w:rPr>
        <w:t xml:space="preserve">to learn from their networking experience; </w:t>
      </w:r>
      <w:r w:rsidR="00A32C00">
        <w:rPr>
          <w:rFonts w:eastAsia="Calibri"/>
          <w:szCs w:val="22"/>
        </w:rPr>
        <w:br/>
      </w:r>
      <w:r w:rsidRPr="00A364AE">
        <w:rPr>
          <w:rFonts w:eastAsia="Calibri"/>
          <w:szCs w:val="22"/>
        </w:rPr>
        <w:t>to encourage and to negotiate concrete, active participation and engagement in the PH;</w:t>
      </w:r>
    </w:p>
    <w:p w14:paraId="102D41FC" w14:textId="4891E224" w:rsidR="00A364AE" w:rsidRPr="00A364AE" w:rsidRDefault="00A364AE" w:rsidP="0072551F">
      <w:pPr>
        <w:numPr>
          <w:ilvl w:val="0"/>
          <w:numId w:val="37"/>
        </w:numPr>
        <w:spacing w:line="254" w:lineRule="auto"/>
        <w:rPr>
          <w:rFonts w:eastAsia="Calibri"/>
          <w:szCs w:val="22"/>
        </w:rPr>
      </w:pPr>
      <w:r w:rsidRPr="00A364AE">
        <w:rPr>
          <w:rFonts w:eastAsia="Calibri"/>
          <w:szCs w:val="22"/>
        </w:rPr>
        <w:t xml:space="preserve">to undertake a targeted quick scan of further sectors/partner networks; </w:t>
      </w:r>
    </w:p>
    <w:p w14:paraId="33490B1B" w14:textId="1F9D6342" w:rsidR="00A364AE" w:rsidRPr="00A364AE" w:rsidRDefault="00A364AE" w:rsidP="0072551F">
      <w:pPr>
        <w:numPr>
          <w:ilvl w:val="0"/>
          <w:numId w:val="37"/>
        </w:numPr>
        <w:spacing w:line="254" w:lineRule="auto"/>
        <w:rPr>
          <w:rFonts w:eastAsia="Calibri"/>
          <w:szCs w:val="22"/>
        </w:rPr>
      </w:pPr>
      <w:r w:rsidRPr="00A364AE">
        <w:rPr>
          <w:rFonts w:eastAsia="Calibri"/>
          <w:szCs w:val="22"/>
        </w:rPr>
        <w:t xml:space="preserve">to explore new potential strategic partners from sectors/networks like, for example, Flyway Initiative, Swimway Initiative, </w:t>
      </w:r>
      <w:proofErr w:type="spellStart"/>
      <w:r w:rsidRPr="00A364AE">
        <w:rPr>
          <w:rFonts w:eastAsia="Calibri"/>
          <w:szCs w:val="22"/>
        </w:rPr>
        <w:t>Nationalpark</w:t>
      </w:r>
      <w:proofErr w:type="spellEnd"/>
      <w:r w:rsidRPr="00A364AE">
        <w:rPr>
          <w:rFonts w:eastAsia="Calibri"/>
          <w:szCs w:val="22"/>
        </w:rPr>
        <w:t xml:space="preserve"> Partners, shipping and harbours, energy, CO2-neutrality, culture and landscape; </w:t>
      </w:r>
      <w:r w:rsidR="00A32C00">
        <w:rPr>
          <w:rFonts w:eastAsia="Calibri"/>
          <w:szCs w:val="22"/>
        </w:rPr>
        <w:br/>
      </w:r>
      <w:r w:rsidRPr="00A364AE">
        <w:rPr>
          <w:rFonts w:eastAsia="Calibri"/>
          <w:szCs w:val="22"/>
        </w:rPr>
        <w:t xml:space="preserve">to analyse fields of common interest/ project ideas including existing projects and to approach (concrete) contacts and evaluate added value of engagement in the PH (project ideas, deliverables, incentives); </w:t>
      </w:r>
    </w:p>
    <w:p w14:paraId="143BEB3F" w14:textId="77777777" w:rsidR="00A364AE" w:rsidRPr="00A364AE" w:rsidRDefault="00A364AE" w:rsidP="0072551F">
      <w:pPr>
        <w:numPr>
          <w:ilvl w:val="0"/>
          <w:numId w:val="37"/>
        </w:numPr>
        <w:spacing w:line="254" w:lineRule="auto"/>
        <w:rPr>
          <w:rFonts w:eastAsia="Calibri"/>
          <w:szCs w:val="22"/>
        </w:rPr>
      </w:pPr>
      <w:r w:rsidRPr="00A364AE">
        <w:rPr>
          <w:rFonts w:eastAsia="Calibri"/>
          <w:szCs w:val="22"/>
        </w:rPr>
        <w:lastRenderedPageBreak/>
        <w:t>to initiate, arrange and prepare tailor-made strategic partnership agreements, agreements of cooperation or memoranda of understanding with the future partners in the Partnership Hub;</w:t>
      </w:r>
    </w:p>
    <w:p w14:paraId="59BC7A98" w14:textId="77777777" w:rsidR="00A364AE" w:rsidRPr="00A364AE" w:rsidRDefault="00A364AE" w:rsidP="0072551F">
      <w:pPr>
        <w:numPr>
          <w:ilvl w:val="0"/>
          <w:numId w:val="37"/>
        </w:numPr>
        <w:spacing w:line="254" w:lineRule="auto"/>
        <w:rPr>
          <w:rFonts w:eastAsia="Calibri"/>
          <w:szCs w:val="22"/>
        </w:rPr>
      </w:pPr>
      <w:r w:rsidRPr="00A364AE">
        <w:rPr>
          <w:szCs w:val="22"/>
        </w:rPr>
        <w:t>conduct a pilot phase for the Partnership Hub and an evaluation;</w:t>
      </w:r>
    </w:p>
    <w:p w14:paraId="2EB80797" w14:textId="77777777" w:rsidR="00A364AE" w:rsidRPr="00A364AE" w:rsidRDefault="00A364AE" w:rsidP="0072551F">
      <w:pPr>
        <w:numPr>
          <w:ilvl w:val="0"/>
          <w:numId w:val="37"/>
        </w:numPr>
        <w:spacing w:line="254" w:lineRule="auto"/>
        <w:rPr>
          <w:rFonts w:eastAsia="Calibri"/>
          <w:szCs w:val="22"/>
        </w:rPr>
      </w:pPr>
      <w:r w:rsidRPr="00A364AE">
        <w:rPr>
          <w:szCs w:val="22"/>
        </w:rPr>
        <w:t>act as interface between WSB and PROWAD LINK-activity 4.4 (develop Partnership Hub);</w:t>
      </w:r>
    </w:p>
    <w:p w14:paraId="6507F4AF" w14:textId="77777777" w:rsidR="00A364AE" w:rsidRPr="00A364AE" w:rsidRDefault="00A364AE" w:rsidP="0072551F">
      <w:pPr>
        <w:numPr>
          <w:ilvl w:val="0"/>
          <w:numId w:val="37"/>
        </w:numPr>
        <w:spacing w:after="160" w:line="254" w:lineRule="auto"/>
        <w:rPr>
          <w:rFonts w:eastAsia="Calibri"/>
          <w:szCs w:val="22"/>
        </w:rPr>
      </w:pPr>
      <w:r w:rsidRPr="00A364AE">
        <w:rPr>
          <w:szCs w:val="22"/>
        </w:rPr>
        <w:t>develop a concept for the Partnership Hub.</w:t>
      </w:r>
    </w:p>
    <w:p w14:paraId="7D42CCB1" w14:textId="77777777" w:rsidR="00A364AE" w:rsidRPr="00A364AE" w:rsidRDefault="00A364AE" w:rsidP="00A364AE">
      <w:pPr>
        <w:spacing w:after="160" w:line="254" w:lineRule="auto"/>
        <w:rPr>
          <w:rFonts w:eastAsia="Calibri"/>
          <w:szCs w:val="22"/>
        </w:rPr>
      </w:pPr>
    </w:p>
    <w:p w14:paraId="06B38A74" w14:textId="77777777" w:rsidR="00A364AE" w:rsidRPr="009F4B13" w:rsidRDefault="00A364AE" w:rsidP="00A364AE">
      <w:pPr>
        <w:spacing w:after="160" w:line="254" w:lineRule="auto"/>
        <w:rPr>
          <w:rFonts w:ascii="Arial" w:eastAsia="Calibri" w:hAnsi="Arial" w:cs="Arial"/>
          <w:b/>
          <w:szCs w:val="22"/>
        </w:rPr>
      </w:pPr>
      <w:r w:rsidRPr="009F4B13">
        <w:rPr>
          <w:rFonts w:ascii="Arial" w:eastAsia="Calibri" w:hAnsi="Arial" w:cs="Arial"/>
          <w:b/>
          <w:szCs w:val="22"/>
        </w:rPr>
        <w:t>Deliverables</w:t>
      </w:r>
    </w:p>
    <w:p w14:paraId="30D34A33" w14:textId="52038518" w:rsidR="00A364AE" w:rsidRPr="00A364AE" w:rsidRDefault="00A364AE" w:rsidP="0072551F">
      <w:pPr>
        <w:numPr>
          <w:ilvl w:val="0"/>
          <w:numId w:val="38"/>
        </w:numPr>
        <w:spacing w:line="276" w:lineRule="auto"/>
        <w:rPr>
          <w:rFonts w:eastAsia="Calibri"/>
          <w:szCs w:val="22"/>
        </w:rPr>
      </w:pPr>
      <w:r w:rsidRPr="00A364AE">
        <w:rPr>
          <w:szCs w:val="22"/>
        </w:rPr>
        <w:t>Outline of continuously updated work program</w:t>
      </w:r>
      <w:r w:rsidR="00BF041F">
        <w:rPr>
          <w:szCs w:val="22"/>
        </w:rPr>
        <w:t>me</w:t>
      </w:r>
      <w:r w:rsidR="0058632E">
        <w:rPr>
          <w:szCs w:val="22"/>
        </w:rPr>
        <w:t>;</w:t>
      </w:r>
    </w:p>
    <w:p w14:paraId="34D25A00" w14:textId="46007A26" w:rsidR="00A364AE" w:rsidRPr="00A364AE" w:rsidRDefault="00A364AE" w:rsidP="0072551F">
      <w:pPr>
        <w:numPr>
          <w:ilvl w:val="0"/>
          <w:numId w:val="38"/>
        </w:numPr>
        <w:spacing w:line="276" w:lineRule="auto"/>
        <w:rPr>
          <w:rFonts w:eastAsia="Calibri"/>
          <w:szCs w:val="22"/>
        </w:rPr>
      </w:pPr>
      <w:r w:rsidRPr="00A364AE">
        <w:rPr>
          <w:szCs w:val="22"/>
        </w:rPr>
        <w:t>Regular progress reports on implementation of tasks</w:t>
      </w:r>
      <w:r w:rsidR="0058632E">
        <w:rPr>
          <w:szCs w:val="22"/>
        </w:rPr>
        <w:t>;</w:t>
      </w:r>
    </w:p>
    <w:p w14:paraId="4D6941FB" w14:textId="149BFA9A" w:rsidR="00A364AE" w:rsidRPr="00A364AE" w:rsidRDefault="00A364AE" w:rsidP="0072551F">
      <w:pPr>
        <w:numPr>
          <w:ilvl w:val="0"/>
          <w:numId w:val="38"/>
        </w:numPr>
        <w:spacing w:line="276" w:lineRule="auto"/>
        <w:rPr>
          <w:rFonts w:eastAsia="Calibri"/>
          <w:szCs w:val="22"/>
        </w:rPr>
      </w:pPr>
      <w:r w:rsidRPr="00A364AE">
        <w:rPr>
          <w:szCs w:val="22"/>
        </w:rPr>
        <w:t>Proposals for tailor-made partnership-agreements and memoranda of understanding</w:t>
      </w:r>
      <w:r w:rsidR="0058632E">
        <w:rPr>
          <w:szCs w:val="22"/>
        </w:rPr>
        <w:t>;</w:t>
      </w:r>
    </w:p>
    <w:p w14:paraId="3EE873F9" w14:textId="435DCAA2" w:rsidR="00A364AE" w:rsidRPr="00A364AE" w:rsidRDefault="00A364AE" w:rsidP="0072551F">
      <w:pPr>
        <w:numPr>
          <w:ilvl w:val="0"/>
          <w:numId w:val="38"/>
        </w:numPr>
        <w:spacing w:line="276" w:lineRule="auto"/>
        <w:rPr>
          <w:rFonts w:eastAsia="Calibri"/>
          <w:szCs w:val="22"/>
        </w:rPr>
      </w:pPr>
      <w:r w:rsidRPr="00A364AE">
        <w:rPr>
          <w:szCs w:val="22"/>
        </w:rPr>
        <w:t>Draft evaluation of the pilot phase</w:t>
      </w:r>
      <w:r w:rsidR="0058632E">
        <w:rPr>
          <w:szCs w:val="22"/>
        </w:rPr>
        <w:t>;</w:t>
      </w:r>
    </w:p>
    <w:p w14:paraId="76B5EC33" w14:textId="72F14A12" w:rsidR="00A364AE" w:rsidRPr="00A364AE" w:rsidRDefault="00A364AE" w:rsidP="0072551F">
      <w:pPr>
        <w:numPr>
          <w:ilvl w:val="0"/>
          <w:numId w:val="38"/>
        </w:numPr>
        <w:spacing w:line="276" w:lineRule="auto"/>
        <w:rPr>
          <w:rFonts w:eastAsia="Calibri"/>
          <w:szCs w:val="22"/>
        </w:rPr>
      </w:pPr>
      <w:r w:rsidRPr="00A364AE">
        <w:rPr>
          <w:szCs w:val="22"/>
        </w:rPr>
        <w:t>Draft Concept for the Partnership Hub</w:t>
      </w:r>
      <w:r w:rsidR="0058632E">
        <w:rPr>
          <w:szCs w:val="22"/>
        </w:rPr>
        <w:t>.</w:t>
      </w:r>
    </w:p>
    <w:p w14:paraId="3C334B13" w14:textId="77777777" w:rsidR="00A364AE" w:rsidRPr="00A364AE" w:rsidRDefault="00A364AE" w:rsidP="00A364AE">
      <w:pPr>
        <w:spacing w:after="160" w:line="254" w:lineRule="auto"/>
        <w:rPr>
          <w:rFonts w:eastAsia="Calibri"/>
          <w:b/>
          <w:szCs w:val="22"/>
        </w:rPr>
      </w:pPr>
    </w:p>
    <w:p w14:paraId="16D3FD22" w14:textId="77777777" w:rsidR="00A364AE" w:rsidRPr="009F4B13" w:rsidRDefault="00A364AE" w:rsidP="00A364AE">
      <w:pPr>
        <w:spacing w:after="160" w:line="254" w:lineRule="auto"/>
        <w:rPr>
          <w:rFonts w:ascii="Arial" w:eastAsia="Calibri" w:hAnsi="Arial" w:cs="Arial"/>
          <w:b/>
          <w:szCs w:val="22"/>
        </w:rPr>
      </w:pPr>
      <w:r w:rsidRPr="009F4B13">
        <w:rPr>
          <w:rFonts w:ascii="Arial" w:eastAsia="Calibri" w:hAnsi="Arial" w:cs="Arial"/>
          <w:b/>
          <w:szCs w:val="22"/>
        </w:rPr>
        <w:t>Composition/Membership</w:t>
      </w:r>
    </w:p>
    <w:p w14:paraId="5DA2C409" w14:textId="242C3898" w:rsidR="00A364AE" w:rsidRPr="00A364AE" w:rsidRDefault="00A364AE" w:rsidP="0072551F">
      <w:pPr>
        <w:pStyle w:val="Listenabsatz"/>
        <w:numPr>
          <w:ilvl w:val="0"/>
          <w:numId w:val="39"/>
        </w:numPr>
        <w:spacing w:after="160" w:line="254" w:lineRule="auto"/>
        <w:rPr>
          <w:rFonts w:eastAsia="Calibri"/>
        </w:rPr>
      </w:pPr>
      <w:r w:rsidRPr="00A364AE">
        <w:rPr>
          <w:rFonts w:eastAsia="Calibri"/>
        </w:rPr>
        <w:t>Chairperson</w:t>
      </w:r>
      <w:r>
        <w:rPr>
          <w:rFonts w:eastAsia="Calibri"/>
        </w:rPr>
        <w:t xml:space="preserve"> plus</w:t>
      </w:r>
    </w:p>
    <w:p w14:paraId="4847806F" w14:textId="73F5AF31" w:rsidR="00A364AE" w:rsidRPr="00A364AE" w:rsidRDefault="00A364AE" w:rsidP="0072551F">
      <w:pPr>
        <w:pStyle w:val="Listenabsatz"/>
        <w:numPr>
          <w:ilvl w:val="0"/>
          <w:numId w:val="39"/>
        </w:numPr>
        <w:spacing w:after="160" w:line="254" w:lineRule="auto"/>
        <w:rPr>
          <w:rFonts w:eastAsia="Calibri"/>
          <w:b/>
        </w:rPr>
      </w:pPr>
      <w:r w:rsidRPr="00A364AE">
        <w:t>1-2 representatives per region (NL,</w:t>
      </w:r>
      <w:r w:rsidR="00A32C00">
        <w:t xml:space="preserve"> </w:t>
      </w:r>
      <w:r w:rsidRPr="00A364AE">
        <w:t>LS,</w:t>
      </w:r>
      <w:r w:rsidR="00A32C00">
        <w:t xml:space="preserve"> </w:t>
      </w:r>
      <w:r w:rsidRPr="00A364AE">
        <w:t>HH,</w:t>
      </w:r>
      <w:r w:rsidR="00A32C00">
        <w:t xml:space="preserve"> </w:t>
      </w:r>
      <w:r w:rsidRPr="00A364AE">
        <w:t>SH,</w:t>
      </w:r>
      <w:r w:rsidR="00A32C00">
        <w:t xml:space="preserve"> </w:t>
      </w:r>
      <w:r w:rsidRPr="00A364AE">
        <w:t>DK); 1 from CWSS; invited representatives from potential strategic partner’s sectors: starting with 1 Wadden Sea Forum; 1 green NGO; 1 Research; 1 Education; 1 Sustainable Tourism network.</w:t>
      </w:r>
    </w:p>
    <w:p w14:paraId="7A170321" w14:textId="77777777" w:rsidR="00A364AE" w:rsidRPr="009F4B13" w:rsidRDefault="00A364AE" w:rsidP="00A364AE">
      <w:pPr>
        <w:spacing w:after="160" w:line="254" w:lineRule="auto"/>
        <w:rPr>
          <w:rFonts w:ascii="Arial" w:eastAsia="Calibri" w:hAnsi="Arial" w:cs="Arial"/>
          <w:b/>
          <w:szCs w:val="22"/>
        </w:rPr>
      </w:pPr>
      <w:r w:rsidRPr="009F4B13">
        <w:rPr>
          <w:rFonts w:ascii="Arial" w:eastAsia="Calibri" w:hAnsi="Arial" w:cs="Arial"/>
          <w:b/>
          <w:szCs w:val="22"/>
        </w:rPr>
        <w:t>Time schedule</w:t>
      </w:r>
    </w:p>
    <w:p w14:paraId="36055690" w14:textId="5F93256B" w:rsidR="001965DE" w:rsidRPr="00A364AE" w:rsidRDefault="00A364AE" w:rsidP="009F4B13">
      <w:pPr>
        <w:spacing w:after="160" w:line="254" w:lineRule="auto"/>
      </w:pPr>
      <w:r w:rsidRPr="00A364AE">
        <w:rPr>
          <w:rFonts w:eastAsia="Calibri"/>
          <w:szCs w:val="22"/>
        </w:rPr>
        <w:t>2018-2022</w:t>
      </w:r>
    </w:p>
    <w:sectPr w:rsidR="001965DE" w:rsidRPr="00A364AE" w:rsidSect="001C042F">
      <w:headerReference w:type="default" r:id="rId10"/>
      <w:footerReference w:type="default" r:id="rId11"/>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EE18F5" w14:textId="77777777" w:rsidR="00677E8B" w:rsidRDefault="00677E8B" w:rsidP="00FA025C">
      <w:r>
        <w:separator/>
      </w:r>
    </w:p>
    <w:p w14:paraId="354061A5" w14:textId="77777777" w:rsidR="00677E8B" w:rsidRDefault="00677E8B" w:rsidP="00FA025C"/>
  </w:endnote>
  <w:endnote w:type="continuationSeparator" w:id="0">
    <w:p w14:paraId="41482047" w14:textId="77777777" w:rsidR="00677E8B" w:rsidRDefault="00677E8B" w:rsidP="00FA025C">
      <w:r>
        <w:continuationSeparator/>
      </w:r>
    </w:p>
    <w:p w14:paraId="070B1AF1" w14:textId="77777777" w:rsidR="00677E8B" w:rsidRDefault="00677E8B" w:rsidP="00FA02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FFCD47" w14:textId="70E87588" w:rsidR="005070A1" w:rsidRDefault="005070A1" w:rsidP="00FA025C">
    <w:pPr>
      <w:pStyle w:val="Fuzeile"/>
    </w:pPr>
    <w:r w:rsidRPr="00884A64">
      <w:fldChar w:fldCharType="begin"/>
    </w:r>
    <w:r w:rsidRPr="00884A64">
      <w:instrText>PAGE   \* MERGEFORMAT</w:instrText>
    </w:r>
    <w:r w:rsidRPr="00884A64">
      <w:fldChar w:fldCharType="separate"/>
    </w:r>
    <w:r w:rsidR="00DF7B43">
      <w:rPr>
        <w:noProof/>
      </w:rPr>
      <w:t>21</w:t>
    </w:r>
    <w:r w:rsidRPr="00884A64">
      <w:fldChar w:fldCharType="end"/>
    </w:r>
  </w:p>
  <w:p w14:paraId="7C730A1C" w14:textId="77777777" w:rsidR="005070A1" w:rsidRDefault="005070A1" w:rsidP="00FA025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09064F" w14:textId="77777777" w:rsidR="00677E8B" w:rsidRDefault="00677E8B" w:rsidP="00FA025C">
      <w:r>
        <w:separator/>
      </w:r>
    </w:p>
    <w:p w14:paraId="3D43F4B8" w14:textId="77777777" w:rsidR="00677E8B" w:rsidRDefault="00677E8B" w:rsidP="00FA025C"/>
  </w:footnote>
  <w:footnote w:type="continuationSeparator" w:id="0">
    <w:p w14:paraId="47CA98DD" w14:textId="77777777" w:rsidR="00677E8B" w:rsidRDefault="00677E8B" w:rsidP="00FA025C">
      <w:r>
        <w:continuationSeparator/>
      </w:r>
    </w:p>
    <w:p w14:paraId="42572064" w14:textId="77777777" w:rsidR="00677E8B" w:rsidRDefault="00677E8B" w:rsidP="00FA025C"/>
  </w:footnote>
  <w:footnote w:id="1">
    <w:p w14:paraId="784BC27D" w14:textId="77777777" w:rsidR="005070A1" w:rsidRPr="00D9671A" w:rsidRDefault="005070A1" w:rsidP="00683EC9">
      <w:pPr>
        <w:pStyle w:val="Funotentext"/>
      </w:pPr>
      <w:r>
        <w:rPr>
          <w:rStyle w:val="Funotenzeichen"/>
        </w:rPr>
        <w:footnoteRef/>
      </w:r>
      <w:r>
        <w:t xml:space="preserve"> </w:t>
      </w:r>
      <w:r w:rsidRPr="00D9671A">
        <w:t xml:space="preserve">Depending on discussions at the </w:t>
      </w:r>
      <w:r>
        <w:t>TWSC review process</w:t>
      </w:r>
      <w:r w:rsidRPr="00D9671A">
        <w:t xml:space="preserve"> and </w:t>
      </w:r>
      <w:r>
        <w:t>decisions by the WSB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FD7065" w14:textId="265CEA7C" w:rsidR="005070A1" w:rsidRPr="00B64F3F" w:rsidRDefault="005070A1" w:rsidP="00FA025C">
    <w:pPr>
      <w:pStyle w:val="Kopfzeile"/>
      <w:rPr>
        <w:sz w:val="18"/>
        <w:szCs w:val="18"/>
      </w:rPr>
    </w:pPr>
    <w:r w:rsidRPr="00B64F3F">
      <w:rPr>
        <w:sz w:val="18"/>
        <w:szCs w:val="18"/>
      </w:rPr>
      <w:t>TWSC Review –</w:t>
    </w:r>
    <w:r>
      <w:rPr>
        <w:sz w:val="18"/>
        <w:szCs w:val="18"/>
      </w:rPr>
      <w:t>TOR</w:t>
    </w:r>
    <w:r w:rsidRPr="00B64F3F">
      <w:rPr>
        <w:sz w:val="18"/>
        <w:szCs w:val="18"/>
      </w:rPr>
      <w:t xml:space="preserve"> of groups</w:t>
    </w:r>
    <w:r w:rsidRPr="00B64F3F">
      <w:rPr>
        <w:sz w:val="18"/>
        <w:szCs w:val="18"/>
      </w:rPr>
      <w:tab/>
    </w:r>
    <w:r w:rsidRPr="00B64F3F">
      <w:rPr>
        <w:sz w:val="18"/>
        <w:szCs w:val="18"/>
      </w:rPr>
      <w:tab/>
    </w:r>
    <w:r w:rsidRPr="00B64F3F">
      <w:rPr>
        <w:sz w:val="18"/>
        <w:szCs w:val="18"/>
      </w:rPr>
      <w:tab/>
    </w:r>
    <w:r w:rsidRPr="00B64F3F">
      <w:rPr>
        <w:sz w:val="18"/>
        <w:szCs w:val="18"/>
      </w:rPr>
      <w:tab/>
    </w:r>
  </w:p>
  <w:p w14:paraId="57CDA7BC" w14:textId="77777777" w:rsidR="005070A1" w:rsidRPr="00884A64" w:rsidRDefault="005070A1" w:rsidP="00FA025C">
    <w:pPr>
      <w:pStyle w:val="Kopfzeile"/>
    </w:pPr>
  </w:p>
  <w:p w14:paraId="07A8B75C" w14:textId="77777777" w:rsidR="005070A1" w:rsidRDefault="005070A1" w:rsidP="00FA025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65E8B"/>
    <w:multiLevelType w:val="hybridMultilevel"/>
    <w:tmpl w:val="606CAB0E"/>
    <w:lvl w:ilvl="0" w:tplc="DC008A40">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8816C3B"/>
    <w:multiLevelType w:val="hybridMultilevel"/>
    <w:tmpl w:val="4FFE5208"/>
    <w:lvl w:ilvl="0" w:tplc="77F6B566">
      <w:start w:val="1"/>
      <w:numFmt w:val="decimal"/>
      <w:pStyle w:val="Numbering"/>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 w15:restartNumberingAfterBreak="0">
    <w:nsid w:val="0C0966F7"/>
    <w:multiLevelType w:val="hybridMultilevel"/>
    <w:tmpl w:val="A3BE2F88"/>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F4171FD"/>
    <w:multiLevelType w:val="hybridMultilevel"/>
    <w:tmpl w:val="9334B4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514609"/>
    <w:multiLevelType w:val="hybridMultilevel"/>
    <w:tmpl w:val="8EFE4C2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4533BC"/>
    <w:multiLevelType w:val="hybridMultilevel"/>
    <w:tmpl w:val="2334EB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DE50735"/>
    <w:multiLevelType w:val="multilevel"/>
    <w:tmpl w:val="0809001D"/>
    <w:lvl w:ilvl="0">
      <w:start w:val="1"/>
      <w:numFmt w:val="decimal"/>
      <w:lvlText w:val="%1)"/>
      <w:lvlJc w:val="left"/>
      <w:pPr>
        <w:ind w:left="360" w:hanging="360"/>
      </w:pPr>
      <w:rPr>
        <w:rFonts w:hint="default"/>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EC637D5"/>
    <w:multiLevelType w:val="hybridMultilevel"/>
    <w:tmpl w:val="633A01E6"/>
    <w:lvl w:ilvl="0" w:tplc="348420EE">
      <w:start w:val="1"/>
      <w:numFmt w:val="decimal"/>
      <w:pStyle w:val="berschrift5"/>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F786D41"/>
    <w:multiLevelType w:val="hybridMultilevel"/>
    <w:tmpl w:val="3E7A1C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208A7511"/>
    <w:multiLevelType w:val="hybridMultilevel"/>
    <w:tmpl w:val="3AFC3E60"/>
    <w:lvl w:ilvl="0" w:tplc="EACE87B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20C26EDA"/>
    <w:multiLevelType w:val="hybridMultilevel"/>
    <w:tmpl w:val="778492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317502F"/>
    <w:multiLevelType w:val="multilevel"/>
    <w:tmpl w:val="0809001D"/>
    <w:lvl w:ilvl="0">
      <w:start w:val="1"/>
      <w:numFmt w:val="decimal"/>
      <w:lvlText w:val="%1)"/>
      <w:lvlJc w:val="left"/>
      <w:pPr>
        <w:ind w:left="360" w:hanging="360"/>
      </w:pPr>
      <w:rPr>
        <w:rFonts w:hint="default"/>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A23361A"/>
    <w:multiLevelType w:val="hybridMultilevel"/>
    <w:tmpl w:val="9D7646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5775C7B"/>
    <w:multiLevelType w:val="hybridMultilevel"/>
    <w:tmpl w:val="6AC20B22"/>
    <w:lvl w:ilvl="0" w:tplc="F0D01030">
      <w:start w:val="1"/>
      <w:numFmt w:val="decimal"/>
      <w:pStyle w:val="Listenabsatz"/>
      <w:lvlText w:val="(%1)"/>
      <w:lvlJc w:val="left"/>
      <w:pPr>
        <w:ind w:left="720" w:hanging="360"/>
      </w:pPr>
      <w:rPr>
        <w:rFonts w:hint="default"/>
        <w:b w:val="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BFC7EC8"/>
    <w:multiLevelType w:val="hybridMultilevel"/>
    <w:tmpl w:val="F1E0C6E8"/>
    <w:lvl w:ilvl="0" w:tplc="EACE87B4">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5" w15:restartNumberingAfterBreak="0">
    <w:nsid w:val="3DFE0921"/>
    <w:multiLevelType w:val="hybridMultilevel"/>
    <w:tmpl w:val="6A6E63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E9F1DCD"/>
    <w:multiLevelType w:val="hybridMultilevel"/>
    <w:tmpl w:val="9F0627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3535928"/>
    <w:multiLevelType w:val="hybridMultilevel"/>
    <w:tmpl w:val="104A2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6886054"/>
    <w:multiLevelType w:val="multilevel"/>
    <w:tmpl w:val="F260E70E"/>
    <w:lvl w:ilvl="0">
      <w:start w:val="1"/>
      <w:numFmt w:val="upperLetter"/>
      <w:pStyle w:val="berschrift1"/>
      <w:lvlText w:val="%1."/>
      <w:lvlJc w:val="left"/>
      <w:pPr>
        <w:ind w:left="360" w:hanging="360"/>
      </w:pPr>
      <w:rPr>
        <w:rFonts w:hint="default"/>
        <w:b w:val="0"/>
      </w:rPr>
    </w:lvl>
    <w:lvl w:ilvl="1">
      <w:start w:val="1"/>
      <w:numFmt w:val="decimal"/>
      <w:pStyle w:val="berschrift2"/>
      <w:lvlText w:val="%1.%2"/>
      <w:lvlJc w:val="left"/>
      <w:pPr>
        <w:tabs>
          <w:tab w:val="num" w:pos="576"/>
        </w:tabs>
        <w:ind w:left="576" w:hanging="576"/>
      </w:pPr>
      <w:rPr>
        <w:rFonts w:hint="default"/>
      </w:rPr>
    </w:lvl>
    <w:lvl w:ilvl="2">
      <w:start w:val="1"/>
      <w:numFmt w:val="decimal"/>
      <w:pStyle w:val="berschrift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D472F4E"/>
    <w:multiLevelType w:val="hybridMultilevel"/>
    <w:tmpl w:val="ADA41DF8"/>
    <w:lvl w:ilvl="0" w:tplc="1C2E82F0">
      <w:start w:val="1"/>
      <w:numFmt w:val="bullet"/>
      <w:pStyle w:val="Bulletbold"/>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EF76925"/>
    <w:multiLevelType w:val="hybridMultilevel"/>
    <w:tmpl w:val="ECB2EA46"/>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2703E8F"/>
    <w:multiLevelType w:val="hybridMultilevel"/>
    <w:tmpl w:val="2410DD3E"/>
    <w:lvl w:ilvl="0" w:tplc="EACE87B4">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2" w15:restartNumberingAfterBreak="0">
    <w:nsid w:val="62C26DAC"/>
    <w:multiLevelType w:val="hybridMultilevel"/>
    <w:tmpl w:val="B48E2E9C"/>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146111"/>
    <w:multiLevelType w:val="hybridMultilevel"/>
    <w:tmpl w:val="D884EF6A"/>
    <w:lvl w:ilvl="0" w:tplc="EACE87B4">
      <w:start w:val="1"/>
      <w:numFmt w:val="decimal"/>
      <w:lvlText w:val="(%1)"/>
      <w:lvlJc w:val="left"/>
      <w:pPr>
        <w:ind w:left="644" w:hanging="360"/>
      </w:p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4" w15:restartNumberingAfterBreak="0">
    <w:nsid w:val="74761176"/>
    <w:multiLevelType w:val="hybridMultilevel"/>
    <w:tmpl w:val="E16A28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9521E9D"/>
    <w:multiLevelType w:val="hybridMultilevel"/>
    <w:tmpl w:val="619E52EE"/>
    <w:lvl w:ilvl="0" w:tplc="EACE87B4">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15:restartNumberingAfterBreak="0">
    <w:nsid w:val="7B500902"/>
    <w:multiLevelType w:val="hybridMultilevel"/>
    <w:tmpl w:val="F10270E8"/>
    <w:lvl w:ilvl="0" w:tplc="044E7DF8">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D934619"/>
    <w:multiLevelType w:val="hybridMultilevel"/>
    <w:tmpl w:val="8A123BD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FF35704"/>
    <w:multiLevelType w:val="hybridMultilevel"/>
    <w:tmpl w:val="1CF4103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8"/>
  </w:num>
  <w:num w:numId="2">
    <w:abstractNumId w:val="19"/>
  </w:num>
  <w:num w:numId="3">
    <w:abstractNumId w:val="6"/>
  </w:num>
  <w:num w:numId="4">
    <w:abstractNumId w:val="8"/>
  </w:num>
  <w:num w:numId="5">
    <w:abstractNumId w:val="1"/>
    <w:lvlOverride w:ilvl="0">
      <w:startOverride w:val="1"/>
    </w:lvlOverride>
  </w:num>
  <w:num w:numId="6">
    <w:abstractNumId w:val="1"/>
    <w:lvlOverride w:ilvl="0">
      <w:startOverride w:val="1"/>
    </w:lvlOverride>
  </w:num>
  <w:num w:numId="7">
    <w:abstractNumId w:val="1"/>
    <w:lvlOverride w:ilvl="0">
      <w:startOverride w:val="1"/>
    </w:lvlOverride>
  </w:num>
  <w:num w:numId="8">
    <w:abstractNumId w:val="1"/>
    <w:lvlOverride w:ilvl="0">
      <w:startOverride w:val="1"/>
    </w:lvlOverride>
  </w:num>
  <w:num w:numId="9">
    <w:abstractNumId w:val="7"/>
  </w:num>
  <w:num w:numId="10">
    <w:abstractNumId w:val="1"/>
  </w:num>
  <w:num w:numId="11">
    <w:abstractNumId w:val="1"/>
    <w:lvlOverride w:ilvl="0">
      <w:startOverride w:val="1"/>
    </w:lvlOverride>
  </w:num>
  <w:num w:numId="12">
    <w:abstractNumId w:val="1"/>
    <w:lvlOverride w:ilvl="0">
      <w:startOverride w:val="1"/>
    </w:lvlOverride>
  </w:num>
  <w:num w:numId="13">
    <w:abstractNumId w:val="13"/>
  </w:num>
  <w:num w:numId="14">
    <w:abstractNumId w:val="13"/>
    <w:lvlOverride w:ilvl="0">
      <w:startOverride w:val="1"/>
    </w:lvlOverride>
  </w:num>
  <w:num w:numId="15">
    <w:abstractNumId w:val="13"/>
    <w:lvlOverride w:ilvl="0">
      <w:startOverride w:val="1"/>
    </w:lvlOverride>
  </w:num>
  <w:num w:numId="16">
    <w:abstractNumId w:val="1"/>
    <w:lvlOverride w:ilvl="0">
      <w:startOverride w:val="1"/>
    </w:lvlOverride>
  </w:num>
  <w:num w:numId="17">
    <w:abstractNumId w:val="13"/>
    <w:lvlOverride w:ilvl="0">
      <w:startOverride w:val="1"/>
    </w:lvlOverride>
  </w:num>
  <w:num w:numId="18">
    <w:abstractNumId w:val="13"/>
    <w:lvlOverride w:ilvl="0">
      <w:startOverride w:val="1"/>
    </w:lvlOverride>
  </w:num>
  <w:num w:numId="19">
    <w:abstractNumId w:val="4"/>
  </w:num>
  <w:num w:numId="20">
    <w:abstractNumId w:val="20"/>
  </w:num>
  <w:num w:numId="21">
    <w:abstractNumId w:val="13"/>
    <w:lvlOverride w:ilvl="0">
      <w:startOverride w:val="1"/>
    </w:lvlOverride>
  </w:num>
  <w:num w:numId="22">
    <w:abstractNumId w:val="13"/>
    <w:lvlOverride w:ilvl="0">
      <w:startOverride w:val="1"/>
    </w:lvlOverride>
  </w:num>
  <w:num w:numId="23">
    <w:abstractNumId w:val="13"/>
    <w:lvlOverride w:ilvl="0">
      <w:startOverride w:val="1"/>
    </w:lvlOverride>
  </w:num>
  <w:num w:numId="24">
    <w:abstractNumId w:val="24"/>
  </w:num>
  <w:num w:numId="25">
    <w:abstractNumId w:val="10"/>
  </w:num>
  <w:num w:numId="26">
    <w:abstractNumId w:val="3"/>
  </w:num>
  <w:num w:numId="27">
    <w:abstractNumId w:val="5"/>
  </w:num>
  <w:num w:numId="28">
    <w:abstractNumId w:val="12"/>
  </w:num>
  <w:num w:numId="29">
    <w:abstractNumId w:val="15"/>
  </w:num>
  <w:num w:numId="30">
    <w:abstractNumId w:val="17"/>
  </w:num>
  <w:num w:numId="31">
    <w:abstractNumId w:val="25"/>
  </w:num>
  <w:num w:numId="32">
    <w:abstractNumId w:val="9"/>
  </w:num>
  <w:num w:numId="33">
    <w:abstractNumId w:val="11"/>
  </w:num>
  <w:num w:numId="34">
    <w:abstractNumId w:val="23"/>
  </w:num>
  <w:num w:numId="35">
    <w:abstractNumId w:val="27"/>
  </w:num>
  <w:num w:numId="36">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21"/>
  </w:num>
  <w:num w:numId="39">
    <w:abstractNumId w:val="16"/>
  </w:num>
  <w:num w:numId="40">
    <w:abstractNumId w:val="13"/>
  </w:num>
  <w:num w:numId="41">
    <w:abstractNumId w:val="26"/>
  </w:num>
  <w:num w:numId="42">
    <w:abstractNumId w:val="22"/>
  </w:num>
  <w:num w:numId="43">
    <w:abstractNumId w:val="2"/>
  </w:num>
  <w:num w:numId="44">
    <w:abstractNumId w:val="28"/>
  </w:num>
  <w:num w:numId="45">
    <w:abstractNumId w:val="0"/>
  </w:num>
  <w:num w:numId="46">
    <w:abstractNumId w:val="1"/>
    <w:lvlOverride w:ilvl="0">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GB" w:vendorID="64" w:dllVersion="6" w:nlCheck="1" w:checkStyle="1"/>
  <w:activeWritingStyle w:appName="MSWord" w:lang="fr-FR" w:vendorID="64" w:dllVersion="6" w:nlCheck="1" w:checkStyle="1"/>
  <w:activeWritingStyle w:appName="MSWord" w:lang="de-DE" w:vendorID="64" w:dllVersion="6" w:nlCheck="1" w:checkStyle="0"/>
  <w:activeWritingStyle w:appName="MSWord" w:lang="en-US" w:vendorID="64" w:dllVersion="6" w:nlCheck="1" w:checkStyle="1"/>
  <w:activeWritingStyle w:appName="MSWord" w:lang="en-GB" w:vendorID="64" w:dllVersion="0" w:nlCheck="1" w:checkStyle="0"/>
  <w:activeWritingStyle w:appName="MSWord" w:lang="de-DE" w:vendorID="64" w:dllVersion="0" w:nlCheck="1" w:checkStyle="0"/>
  <w:activeWritingStyle w:appName="MSWord" w:lang="en-US" w:vendorID="64" w:dllVersion="0" w:nlCheck="1" w:checkStyle="0"/>
  <w:activeWritingStyle w:appName="MSWord" w:lang="it-IT" w:vendorID="64" w:dllVersion="0" w:nlCheck="1" w:checkStyle="0"/>
  <w:activeWritingStyle w:appName="MSWord" w:lang="it-IT" w:vendorID="64" w:dllVersion="6" w:nlCheck="1" w:checkStyle="0"/>
  <w:activeWritingStyle w:appName="MSWord" w:lang="en-CA" w:vendorID="64" w:dllVersion="6" w:nlCheck="1" w:checkStyle="1"/>
  <w:activeWritingStyle w:appName="MSWord" w:lang="fr-FR" w:vendorID="64" w:dllVersion="0"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KAW999929" w:val="7086b846-51c2-472a-b293-efb10e75b211"/>
    <w:docVar w:name="LW_DocType" w:val="70FC0A9"/>
  </w:docVars>
  <w:rsids>
    <w:rsidRoot w:val="00E65956"/>
    <w:rsid w:val="00002900"/>
    <w:rsid w:val="00004EE5"/>
    <w:rsid w:val="00005563"/>
    <w:rsid w:val="0000724D"/>
    <w:rsid w:val="00007DD7"/>
    <w:rsid w:val="000133C7"/>
    <w:rsid w:val="000135D9"/>
    <w:rsid w:val="00014ADE"/>
    <w:rsid w:val="0002233C"/>
    <w:rsid w:val="0002366B"/>
    <w:rsid w:val="00024533"/>
    <w:rsid w:val="0003403B"/>
    <w:rsid w:val="000377A4"/>
    <w:rsid w:val="00040BF6"/>
    <w:rsid w:val="00044B5D"/>
    <w:rsid w:val="00046F5F"/>
    <w:rsid w:val="000501AA"/>
    <w:rsid w:val="00051122"/>
    <w:rsid w:val="0006057D"/>
    <w:rsid w:val="00063107"/>
    <w:rsid w:val="00066FC4"/>
    <w:rsid w:val="000701AF"/>
    <w:rsid w:val="00073E29"/>
    <w:rsid w:val="00075502"/>
    <w:rsid w:val="000769E9"/>
    <w:rsid w:val="00076BAC"/>
    <w:rsid w:val="00076D02"/>
    <w:rsid w:val="00084004"/>
    <w:rsid w:val="000912CA"/>
    <w:rsid w:val="00093CA3"/>
    <w:rsid w:val="000948C3"/>
    <w:rsid w:val="000963D7"/>
    <w:rsid w:val="00096874"/>
    <w:rsid w:val="00097C75"/>
    <w:rsid w:val="000A3C3D"/>
    <w:rsid w:val="000B051E"/>
    <w:rsid w:val="000B62EE"/>
    <w:rsid w:val="000B7A4C"/>
    <w:rsid w:val="000C16C8"/>
    <w:rsid w:val="000C21F4"/>
    <w:rsid w:val="000C2C32"/>
    <w:rsid w:val="000C2C4D"/>
    <w:rsid w:val="000C379B"/>
    <w:rsid w:val="000C6BD5"/>
    <w:rsid w:val="000D1CD5"/>
    <w:rsid w:val="000D4AA1"/>
    <w:rsid w:val="000E056F"/>
    <w:rsid w:val="000E250B"/>
    <w:rsid w:val="000E286C"/>
    <w:rsid w:val="000E4F78"/>
    <w:rsid w:val="000E7117"/>
    <w:rsid w:val="000E7F39"/>
    <w:rsid w:val="000F0E64"/>
    <w:rsid w:val="000F1A60"/>
    <w:rsid w:val="000F2E38"/>
    <w:rsid w:val="000F37B1"/>
    <w:rsid w:val="000F6304"/>
    <w:rsid w:val="00105D5B"/>
    <w:rsid w:val="001105C4"/>
    <w:rsid w:val="00110F85"/>
    <w:rsid w:val="0011478F"/>
    <w:rsid w:val="001151D2"/>
    <w:rsid w:val="00116954"/>
    <w:rsid w:val="00117958"/>
    <w:rsid w:val="001265B8"/>
    <w:rsid w:val="00137047"/>
    <w:rsid w:val="00147A4E"/>
    <w:rsid w:val="00154395"/>
    <w:rsid w:val="00157231"/>
    <w:rsid w:val="001602F0"/>
    <w:rsid w:val="001606F8"/>
    <w:rsid w:val="001625B6"/>
    <w:rsid w:val="00164470"/>
    <w:rsid w:val="00166811"/>
    <w:rsid w:val="0017526A"/>
    <w:rsid w:val="001760DD"/>
    <w:rsid w:val="00180BAC"/>
    <w:rsid w:val="00181091"/>
    <w:rsid w:val="00183DA5"/>
    <w:rsid w:val="001906A2"/>
    <w:rsid w:val="0019294F"/>
    <w:rsid w:val="00193121"/>
    <w:rsid w:val="001965DE"/>
    <w:rsid w:val="00197C0C"/>
    <w:rsid w:val="001A2D96"/>
    <w:rsid w:val="001B63AC"/>
    <w:rsid w:val="001B72C0"/>
    <w:rsid w:val="001B785E"/>
    <w:rsid w:val="001C042F"/>
    <w:rsid w:val="001C5B2C"/>
    <w:rsid w:val="001C6812"/>
    <w:rsid w:val="001D031F"/>
    <w:rsid w:val="001D0D55"/>
    <w:rsid w:val="001D48E5"/>
    <w:rsid w:val="001D4B8C"/>
    <w:rsid w:val="001E1E2F"/>
    <w:rsid w:val="001F320F"/>
    <w:rsid w:val="001F58B5"/>
    <w:rsid w:val="001F74C7"/>
    <w:rsid w:val="00200459"/>
    <w:rsid w:val="0020372A"/>
    <w:rsid w:val="002054A8"/>
    <w:rsid w:val="002108D8"/>
    <w:rsid w:val="00210B97"/>
    <w:rsid w:val="00212819"/>
    <w:rsid w:val="00212A80"/>
    <w:rsid w:val="00215D09"/>
    <w:rsid w:val="002160AA"/>
    <w:rsid w:val="00217AE5"/>
    <w:rsid w:val="002271E4"/>
    <w:rsid w:val="00227892"/>
    <w:rsid w:val="00227E91"/>
    <w:rsid w:val="002338ED"/>
    <w:rsid w:val="0023459F"/>
    <w:rsid w:val="00241433"/>
    <w:rsid w:val="00242A26"/>
    <w:rsid w:val="00252FED"/>
    <w:rsid w:val="00254860"/>
    <w:rsid w:val="00257FE1"/>
    <w:rsid w:val="002668CA"/>
    <w:rsid w:val="00271275"/>
    <w:rsid w:val="00272D87"/>
    <w:rsid w:val="002731FB"/>
    <w:rsid w:val="00285A05"/>
    <w:rsid w:val="0029272E"/>
    <w:rsid w:val="00294F98"/>
    <w:rsid w:val="002A0EF0"/>
    <w:rsid w:val="002A1B5A"/>
    <w:rsid w:val="002A33EE"/>
    <w:rsid w:val="002A5162"/>
    <w:rsid w:val="002A6524"/>
    <w:rsid w:val="002A71CE"/>
    <w:rsid w:val="002B5130"/>
    <w:rsid w:val="002B6BF4"/>
    <w:rsid w:val="002C2ADC"/>
    <w:rsid w:val="002C3B3E"/>
    <w:rsid w:val="002C7CE3"/>
    <w:rsid w:val="002D02FD"/>
    <w:rsid w:val="002D19AC"/>
    <w:rsid w:val="002D37EE"/>
    <w:rsid w:val="002D711A"/>
    <w:rsid w:val="002D7C58"/>
    <w:rsid w:val="002D7DF5"/>
    <w:rsid w:val="002E06BA"/>
    <w:rsid w:val="002E1763"/>
    <w:rsid w:val="002E3365"/>
    <w:rsid w:val="002F5AFD"/>
    <w:rsid w:val="002F7C58"/>
    <w:rsid w:val="00302934"/>
    <w:rsid w:val="00307AC7"/>
    <w:rsid w:val="003148C6"/>
    <w:rsid w:val="003211E5"/>
    <w:rsid w:val="003214F8"/>
    <w:rsid w:val="0032417C"/>
    <w:rsid w:val="00325A6F"/>
    <w:rsid w:val="00333535"/>
    <w:rsid w:val="00336615"/>
    <w:rsid w:val="00340678"/>
    <w:rsid w:val="00340E2A"/>
    <w:rsid w:val="003422F9"/>
    <w:rsid w:val="00342BBA"/>
    <w:rsid w:val="00343F30"/>
    <w:rsid w:val="0035006B"/>
    <w:rsid w:val="00353F6A"/>
    <w:rsid w:val="003549B3"/>
    <w:rsid w:val="00355B1A"/>
    <w:rsid w:val="00357EE8"/>
    <w:rsid w:val="00360D3D"/>
    <w:rsid w:val="00367F1A"/>
    <w:rsid w:val="00373CDE"/>
    <w:rsid w:val="00375097"/>
    <w:rsid w:val="003951D7"/>
    <w:rsid w:val="003A190B"/>
    <w:rsid w:val="003A39BA"/>
    <w:rsid w:val="003A4E03"/>
    <w:rsid w:val="003A6B2B"/>
    <w:rsid w:val="003B2160"/>
    <w:rsid w:val="003B2804"/>
    <w:rsid w:val="003B4885"/>
    <w:rsid w:val="003B53F1"/>
    <w:rsid w:val="003C11A5"/>
    <w:rsid w:val="003D2626"/>
    <w:rsid w:val="003D3CFD"/>
    <w:rsid w:val="003D3EB7"/>
    <w:rsid w:val="003D5EE2"/>
    <w:rsid w:val="003D6420"/>
    <w:rsid w:val="003D6947"/>
    <w:rsid w:val="003D6D11"/>
    <w:rsid w:val="003E1DA6"/>
    <w:rsid w:val="003E6517"/>
    <w:rsid w:val="003E673D"/>
    <w:rsid w:val="003E7000"/>
    <w:rsid w:val="003F3217"/>
    <w:rsid w:val="003F6A87"/>
    <w:rsid w:val="00402614"/>
    <w:rsid w:val="00403C5E"/>
    <w:rsid w:val="00406951"/>
    <w:rsid w:val="00410F47"/>
    <w:rsid w:val="00411BC6"/>
    <w:rsid w:val="0041392A"/>
    <w:rsid w:val="00413ECB"/>
    <w:rsid w:val="0041400D"/>
    <w:rsid w:val="0041642B"/>
    <w:rsid w:val="00421655"/>
    <w:rsid w:val="0042644B"/>
    <w:rsid w:val="00426D4A"/>
    <w:rsid w:val="00427D6A"/>
    <w:rsid w:val="00437E6D"/>
    <w:rsid w:val="00442877"/>
    <w:rsid w:val="00457D57"/>
    <w:rsid w:val="004628E4"/>
    <w:rsid w:val="004634D9"/>
    <w:rsid w:val="00464803"/>
    <w:rsid w:val="0047073F"/>
    <w:rsid w:val="00473646"/>
    <w:rsid w:val="00476E5F"/>
    <w:rsid w:val="0048039B"/>
    <w:rsid w:val="00481078"/>
    <w:rsid w:val="004811CF"/>
    <w:rsid w:val="00481927"/>
    <w:rsid w:val="00482CB4"/>
    <w:rsid w:val="004855CC"/>
    <w:rsid w:val="00485F7F"/>
    <w:rsid w:val="00492C90"/>
    <w:rsid w:val="0049559C"/>
    <w:rsid w:val="00497C54"/>
    <w:rsid w:val="004B0027"/>
    <w:rsid w:val="004B18F8"/>
    <w:rsid w:val="004B492B"/>
    <w:rsid w:val="004B7833"/>
    <w:rsid w:val="004C1CAF"/>
    <w:rsid w:val="004C5F8A"/>
    <w:rsid w:val="004C6BB4"/>
    <w:rsid w:val="004D2610"/>
    <w:rsid w:val="004E702E"/>
    <w:rsid w:val="004F2D4B"/>
    <w:rsid w:val="004F311C"/>
    <w:rsid w:val="004F5FAD"/>
    <w:rsid w:val="004F7255"/>
    <w:rsid w:val="004F7AD3"/>
    <w:rsid w:val="0050604D"/>
    <w:rsid w:val="005070A1"/>
    <w:rsid w:val="0051143B"/>
    <w:rsid w:val="00512939"/>
    <w:rsid w:val="00512AF5"/>
    <w:rsid w:val="00516ADB"/>
    <w:rsid w:val="00517F35"/>
    <w:rsid w:val="0052327A"/>
    <w:rsid w:val="00523334"/>
    <w:rsid w:val="0052517D"/>
    <w:rsid w:val="00531192"/>
    <w:rsid w:val="00543779"/>
    <w:rsid w:val="0054433E"/>
    <w:rsid w:val="00545920"/>
    <w:rsid w:val="00547E63"/>
    <w:rsid w:val="005507A2"/>
    <w:rsid w:val="0055335E"/>
    <w:rsid w:val="0055639D"/>
    <w:rsid w:val="00562657"/>
    <w:rsid w:val="00564814"/>
    <w:rsid w:val="00566883"/>
    <w:rsid w:val="00576FC0"/>
    <w:rsid w:val="005808FB"/>
    <w:rsid w:val="00581AD1"/>
    <w:rsid w:val="00583932"/>
    <w:rsid w:val="0058632E"/>
    <w:rsid w:val="00586336"/>
    <w:rsid w:val="005915E0"/>
    <w:rsid w:val="0059339A"/>
    <w:rsid w:val="00594CC3"/>
    <w:rsid w:val="0059669D"/>
    <w:rsid w:val="0059757A"/>
    <w:rsid w:val="00597AC7"/>
    <w:rsid w:val="005A090A"/>
    <w:rsid w:val="005A17D3"/>
    <w:rsid w:val="005A4F1E"/>
    <w:rsid w:val="005A5349"/>
    <w:rsid w:val="005A7280"/>
    <w:rsid w:val="005B1554"/>
    <w:rsid w:val="005B2D93"/>
    <w:rsid w:val="005C32B6"/>
    <w:rsid w:val="005C366D"/>
    <w:rsid w:val="005C4D1E"/>
    <w:rsid w:val="005C5830"/>
    <w:rsid w:val="005C7A9E"/>
    <w:rsid w:val="005E45E5"/>
    <w:rsid w:val="005E46B0"/>
    <w:rsid w:val="005F0393"/>
    <w:rsid w:val="005F18A8"/>
    <w:rsid w:val="005F1D80"/>
    <w:rsid w:val="005F2743"/>
    <w:rsid w:val="005F3BA6"/>
    <w:rsid w:val="005F5210"/>
    <w:rsid w:val="005F586A"/>
    <w:rsid w:val="00601703"/>
    <w:rsid w:val="00602A4C"/>
    <w:rsid w:val="00605AA4"/>
    <w:rsid w:val="0061329F"/>
    <w:rsid w:val="00615200"/>
    <w:rsid w:val="00617074"/>
    <w:rsid w:val="00622251"/>
    <w:rsid w:val="006264FF"/>
    <w:rsid w:val="00626E28"/>
    <w:rsid w:val="00632074"/>
    <w:rsid w:val="00632DC9"/>
    <w:rsid w:val="0063505E"/>
    <w:rsid w:val="006363AB"/>
    <w:rsid w:val="0064399F"/>
    <w:rsid w:val="006444C3"/>
    <w:rsid w:val="00645859"/>
    <w:rsid w:val="00646D0F"/>
    <w:rsid w:val="00646D38"/>
    <w:rsid w:val="00646DAB"/>
    <w:rsid w:val="0065092B"/>
    <w:rsid w:val="00650ABF"/>
    <w:rsid w:val="006522EE"/>
    <w:rsid w:val="0065559F"/>
    <w:rsid w:val="00663736"/>
    <w:rsid w:val="006738D5"/>
    <w:rsid w:val="0067439B"/>
    <w:rsid w:val="00677E8B"/>
    <w:rsid w:val="00682659"/>
    <w:rsid w:val="00682AC6"/>
    <w:rsid w:val="0068365D"/>
    <w:rsid w:val="00683EC9"/>
    <w:rsid w:val="00685DE4"/>
    <w:rsid w:val="006911AB"/>
    <w:rsid w:val="0069489F"/>
    <w:rsid w:val="00697EC8"/>
    <w:rsid w:val="006A0819"/>
    <w:rsid w:val="006A6C72"/>
    <w:rsid w:val="006B0DAC"/>
    <w:rsid w:val="006B1F5B"/>
    <w:rsid w:val="006B54C6"/>
    <w:rsid w:val="006C1457"/>
    <w:rsid w:val="006C6D65"/>
    <w:rsid w:val="006D0998"/>
    <w:rsid w:val="006D1CAE"/>
    <w:rsid w:val="006D4483"/>
    <w:rsid w:val="006D4C5A"/>
    <w:rsid w:val="006D4D17"/>
    <w:rsid w:val="006D503E"/>
    <w:rsid w:val="006D78B8"/>
    <w:rsid w:val="006E2B74"/>
    <w:rsid w:val="006E51B8"/>
    <w:rsid w:val="006F57CB"/>
    <w:rsid w:val="007019FC"/>
    <w:rsid w:val="00704B5F"/>
    <w:rsid w:val="00705336"/>
    <w:rsid w:val="00710AFD"/>
    <w:rsid w:val="0071128C"/>
    <w:rsid w:val="00713AE8"/>
    <w:rsid w:val="00717A62"/>
    <w:rsid w:val="00717F4A"/>
    <w:rsid w:val="007240E0"/>
    <w:rsid w:val="00724801"/>
    <w:rsid w:val="0072516E"/>
    <w:rsid w:val="0072551F"/>
    <w:rsid w:val="00732C1D"/>
    <w:rsid w:val="007331F6"/>
    <w:rsid w:val="00742E85"/>
    <w:rsid w:val="00743721"/>
    <w:rsid w:val="0075092A"/>
    <w:rsid w:val="00754D75"/>
    <w:rsid w:val="007563CD"/>
    <w:rsid w:val="00761403"/>
    <w:rsid w:val="00761F9A"/>
    <w:rsid w:val="00762B85"/>
    <w:rsid w:val="0077208D"/>
    <w:rsid w:val="007728B8"/>
    <w:rsid w:val="00774691"/>
    <w:rsid w:val="00774C27"/>
    <w:rsid w:val="007836B7"/>
    <w:rsid w:val="00783EFA"/>
    <w:rsid w:val="0078654F"/>
    <w:rsid w:val="00786DCE"/>
    <w:rsid w:val="00787A21"/>
    <w:rsid w:val="00792CDA"/>
    <w:rsid w:val="00793462"/>
    <w:rsid w:val="007958AE"/>
    <w:rsid w:val="007976A5"/>
    <w:rsid w:val="007A0319"/>
    <w:rsid w:val="007A7B8F"/>
    <w:rsid w:val="007A7CCA"/>
    <w:rsid w:val="007B3DEC"/>
    <w:rsid w:val="007B729F"/>
    <w:rsid w:val="007B73FA"/>
    <w:rsid w:val="007C4269"/>
    <w:rsid w:val="007C501F"/>
    <w:rsid w:val="007C54E6"/>
    <w:rsid w:val="007C7BD3"/>
    <w:rsid w:val="007C7EEF"/>
    <w:rsid w:val="007D3443"/>
    <w:rsid w:val="007D5514"/>
    <w:rsid w:val="007E20D3"/>
    <w:rsid w:val="007E2E72"/>
    <w:rsid w:val="00802FBD"/>
    <w:rsid w:val="00813DB5"/>
    <w:rsid w:val="00814939"/>
    <w:rsid w:val="008220BC"/>
    <w:rsid w:val="0082232B"/>
    <w:rsid w:val="0082369C"/>
    <w:rsid w:val="008236A8"/>
    <w:rsid w:val="00824914"/>
    <w:rsid w:val="00827078"/>
    <w:rsid w:val="008324E8"/>
    <w:rsid w:val="00835CBC"/>
    <w:rsid w:val="00840BD4"/>
    <w:rsid w:val="00841625"/>
    <w:rsid w:val="00844A48"/>
    <w:rsid w:val="00846BED"/>
    <w:rsid w:val="00853159"/>
    <w:rsid w:val="00855E0B"/>
    <w:rsid w:val="00856D63"/>
    <w:rsid w:val="00862432"/>
    <w:rsid w:val="008628D9"/>
    <w:rsid w:val="00863FA8"/>
    <w:rsid w:val="00864934"/>
    <w:rsid w:val="0086665D"/>
    <w:rsid w:val="00871E42"/>
    <w:rsid w:val="00876244"/>
    <w:rsid w:val="008814A9"/>
    <w:rsid w:val="00884A64"/>
    <w:rsid w:val="008870AB"/>
    <w:rsid w:val="00887F47"/>
    <w:rsid w:val="00891FDC"/>
    <w:rsid w:val="008964D4"/>
    <w:rsid w:val="008965D1"/>
    <w:rsid w:val="008A01BE"/>
    <w:rsid w:val="008A1E39"/>
    <w:rsid w:val="008A22A4"/>
    <w:rsid w:val="008A379B"/>
    <w:rsid w:val="008B0611"/>
    <w:rsid w:val="008B2365"/>
    <w:rsid w:val="008B32C7"/>
    <w:rsid w:val="008B45AD"/>
    <w:rsid w:val="008B6DC3"/>
    <w:rsid w:val="008C0B48"/>
    <w:rsid w:val="008C14B8"/>
    <w:rsid w:val="008C1B3E"/>
    <w:rsid w:val="008C1C3A"/>
    <w:rsid w:val="008C295A"/>
    <w:rsid w:val="008C4D71"/>
    <w:rsid w:val="008C5C75"/>
    <w:rsid w:val="008D07C9"/>
    <w:rsid w:val="008D09FF"/>
    <w:rsid w:val="008D7682"/>
    <w:rsid w:val="008E5954"/>
    <w:rsid w:val="008F135B"/>
    <w:rsid w:val="008F367A"/>
    <w:rsid w:val="008F550D"/>
    <w:rsid w:val="008F55A2"/>
    <w:rsid w:val="008F59B2"/>
    <w:rsid w:val="008F6A37"/>
    <w:rsid w:val="008F7716"/>
    <w:rsid w:val="00900B48"/>
    <w:rsid w:val="009026ED"/>
    <w:rsid w:val="00902C72"/>
    <w:rsid w:val="009063F2"/>
    <w:rsid w:val="00911BD5"/>
    <w:rsid w:val="009128C7"/>
    <w:rsid w:val="009170A6"/>
    <w:rsid w:val="0092424E"/>
    <w:rsid w:val="00925D64"/>
    <w:rsid w:val="00925EF4"/>
    <w:rsid w:val="00934FCE"/>
    <w:rsid w:val="0093613B"/>
    <w:rsid w:val="0094113A"/>
    <w:rsid w:val="00946512"/>
    <w:rsid w:val="00950873"/>
    <w:rsid w:val="009517FA"/>
    <w:rsid w:val="009518A9"/>
    <w:rsid w:val="009550FC"/>
    <w:rsid w:val="00955FC7"/>
    <w:rsid w:val="00963073"/>
    <w:rsid w:val="00965C3E"/>
    <w:rsid w:val="00971696"/>
    <w:rsid w:val="009719CA"/>
    <w:rsid w:val="00973022"/>
    <w:rsid w:val="00974E36"/>
    <w:rsid w:val="00975C6B"/>
    <w:rsid w:val="00982C8B"/>
    <w:rsid w:val="00985469"/>
    <w:rsid w:val="00985CA7"/>
    <w:rsid w:val="00997B55"/>
    <w:rsid w:val="009A2079"/>
    <w:rsid w:val="009A3401"/>
    <w:rsid w:val="009B2DC4"/>
    <w:rsid w:val="009B54B3"/>
    <w:rsid w:val="009B7D1F"/>
    <w:rsid w:val="009C17A1"/>
    <w:rsid w:val="009C66D9"/>
    <w:rsid w:val="009C7C48"/>
    <w:rsid w:val="009D01E2"/>
    <w:rsid w:val="009D105B"/>
    <w:rsid w:val="009D5428"/>
    <w:rsid w:val="009D590C"/>
    <w:rsid w:val="009D59CC"/>
    <w:rsid w:val="009D62C3"/>
    <w:rsid w:val="009D6A3D"/>
    <w:rsid w:val="009D7DBF"/>
    <w:rsid w:val="009E0C5C"/>
    <w:rsid w:val="009E0F53"/>
    <w:rsid w:val="009E1953"/>
    <w:rsid w:val="009E6684"/>
    <w:rsid w:val="009E7C2C"/>
    <w:rsid w:val="009F331C"/>
    <w:rsid w:val="009F3B8A"/>
    <w:rsid w:val="009F4B13"/>
    <w:rsid w:val="00A0089A"/>
    <w:rsid w:val="00A01E60"/>
    <w:rsid w:val="00A1036A"/>
    <w:rsid w:val="00A12765"/>
    <w:rsid w:val="00A13D27"/>
    <w:rsid w:val="00A16A51"/>
    <w:rsid w:val="00A20BC6"/>
    <w:rsid w:val="00A32C00"/>
    <w:rsid w:val="00A364AE"/>
    <w:rsid w:val="00A41338"/>
    <w:rsid w:val="00A4137C"/>
    <w:rsid w:val="00A4315D"/>
    <w:rsid w:val="00A47D81"/>
    <w:rsid w:val="00A54E2E"/>
    <w:rsid w:val="00A55A4E"/>
    <w:rsid w:val="00A7170F"/>
    <w:rsid w:val="00A80F47"/>
    <w:rsid w:val="00A81332"/>
    <w:rsid w:val="00A8235D"/>
    <w:rsid w:val="00A86C28"/>
    <w:rsid w:val="00A87569"/>
    <w:rsid w:val="00A875C8"/>
    <w:rsid w:val="00A907DC"/>
    <w:rsid w:val="00A915FB"/>
    <w:rsid w:val="00A95CFC"/>
    <w:rsid w:val="00AA056F"/>
    <w:rsid w:val="00AA6371"/>
    <w:rsid w:val="00AC2926"/>
    <w:rsid w:val="00AD30C1"/>
    <w:rsid w:val="00AD48FE"/>
    <w:rsid w:val="00AE1D74"/>
    <w:rsid w:val="00AE651C"/>
    <w:rsid w:val="00AE71E3"/>
    <w:rsid w:val="00AF0431"/>
    <w:rsid w:val="00AF0AA0"/>
    <w:rsid w:val="00AF263A"/>
    <w:rsid w:val="00AF3569"/>
    <w:rsid w:val="00AF5961"/>
    <w:rsid w:val="00B0252F"/>
    <w:rsid w:val="00B07060"/>
    <w:rsid w:val="00B07A4C"/>
    <w:rsid w:val="00B1013D"/>
    <w:rsid w:val="00B1024D"/>
    <w:rsid w:val="00B131DE"/>
    <w:rsid w:val="00B14003"/>
    <w:rsid w:val="00B14303"/>
    <w:rsid w:val="00B15106"/>
    <w:rsid w:val="00B20058"/>
    <w:rsid w:val="00B21C81"/>
    <w:rsid w:val="00B229C8"/>
    <w:rsid w:val="00B2496C"/>
    <w:rsid w:val="00B26CED"/>
    <w:rsid w:val="00B3103C"/>
    <w:rsid w:val="00B33EC4"/>
    <w:rsid w:val="00B33F8F"/>
    <w:rsid w:val="00B370E4"/>
    <w:rsid w:val="00B41F2F"/>
    <w:rsid w:val="00B4226F"/>
    <w:rsid w:val="00B45979"/>
    <w:rsid w:val="00B45E4C"/>
    <w:rsid w:val="00B45FA5"/>
    <w:rsid w:val="00B474C7"/>
    <w:rsid w:val="00B54A8A"/>
    <w:rsid w:val="00B60E63"/>
    <w:rsid w:val="00B61315"/>
    <w:rsid w:val="00B615C1"/>
    <w:rsid w:val="00B62666"/>
    <w:rsid w:val="00B64F3F"/>
    <w:rsid w:val="00B65B5B"/>
    <w:rsid w:val="00B708A6"/>
    <w:rsid w:val="00B72F28"/>
    <w:rsid w:val="00B74A40"/>
    <w:rsid w:val="00B760BD"/>
    <w:rsid w:val="00B77454"/>
    <w:rsid w:val="00B860A7"/>
    <w:rsid w:val="00B91156"/>
    <w:rsid w:val="00B917A8"/>
    <w:rsid w:val="00B93637"/>
    <w:rsid w:val="00B9401C"/>
    <w:rsid w:val="00BA0DF4"/>
    <w:rsid w:val="00BA10DE"/>
    <w:rsid w:val="00BA16E5"/>
    <w:rsid w:val="00BA18E2"/>
    <w:rsid w:val="00BA3925"/>
    <w:rsid w:val="00BA7CC8"/>
    <w:rsid w:val="00BB0684"/>
    <w:rsid w:val="00BB2DE5"/>
    <w:rsid w:val="00BB539C"/>
    <w:rsid w:val="00BB5933"/>
    <w:rsid w:val="00BB654B"/>
    <w:rsid w:val="00BB7070"/>
    <w:rsid w:val="00BB72BE"/>
    <w:rsid w:val="00BC3745"/>
    <w:rsid w:val="00BC4357"/>
    <w:rsid w:val="00BC4FEB"/>
    <w:rsid w:val="00BC6BD5"/>
    <w:rsid w:val="00BD1762"/>
    <w:rsid w:val="00BD1C8C"/>
    <w:rsid w:val="00BD4233"/>
    <w:rsid w:val="00BD4531"/>
    <w:rsid w:val="00BE35BA"/>
    <w:rsid w:val="00BE4BF3"/>
    <w:rsid w:val="00BE4C5F"/>
    <w:rsid w:val="00BE5891"/>
    <w:rsid w:val="00BE5FA0"/>
    <w:rsid w:val="00BF041F"/>
    <w:rsid w:val="00BF4FC9"/>
    <w:rsid w:val="00C0032D"/>
    <w:rsid w:val="00C02750"/>
    <w:rsid w:val="00C066DF"/>
    <w:rsid w:val="00C0748B"/>
    <w:rsid w:val="00C14428"/>
    <w:rsid w:val="00C14AA4"/>
    <w:rsid w:val="00C15340"/>
    <w:rsid w:val="00C177EB"/>
    <w:rsid w:val="00C23468"/>
    <w:rsid w:val="00C249DF"/>
    <w:rsid w:val="00C25297"/>
    <w:rsid w:val="00C25806"/>
    <w:rsid w:val="00C32A1E"/>
    <w:rsid w:val="00C33AAE"/>
    <w:rsid w:val="00C373D5"/>
    <w:rsid w:val="00C475C2"/>
    <w:rsid w:val="00C5066C"/>
    <w:rsid w:val="00C6067C"/>
    <w:rsid w:val="00C61725"/>
    <w:rsid w:val="00C62F33"/>
    <w:rsid w:val="00C66D16"/>
    <w:rsid w:val="00C709A2"/>
    <w:rsid w:val="00C7144A"/>
    <w:rsid w:val="00C77669"/>
    <w:rsid w:val="00C77F3F"/>
    <w:rsid w:val="00C81A36"/>
    <w:rsid w:val="00C914D0"/>
    <w:rsid w:val="00C917B4"/>
    <w:rsid w:val="00C92F48"/>
    <w:rsid w:val="00C94256"/>
    <w:rsid w:val="00C94373"/>
    <w:rsid w:val="00C9446B"/>
    <w:rsid w:val="00C94E92"/>
    <w:rsid w:val="00C95F60"/>
    <w:rsid w:val="00C96C7B"/>
    <w:rsid w:val="00CA14DD"/>
    <w:rsid w:val="00CA2E94"/>
    <w:rsid w:val="00CA3FEC"/>
    <w:rsid w:val="00CA4F12"/>
    <w:rsid w:val="00CA5F2D"/>
    <w:rsid w:val="00CA774E"/>
    <w:rsid w:val="00CB0D66"/>
    <w:rsid w:val="00CB0F49"/>
    <w:rsid w:val="00CB37CF"/>
    <w:rsid w:val="00CB48E8"/>
    <w:rsid w:val="00CD0E24"/>
    <w:rsid w:val="00CD0E99"/>
    <w:rsid w:val="00CD6648"/>
    <w:rsid w:val="00CD7521"/>
    <w:rsid w:val="00CE4943"/>
    <w:rsid w:val="00CE754D"/>
    <w:rsid w:val="00CF54AF"/>
    <w:rsid w:val="00CF7AA6"/>
    <w:rsid w:val="00CF7D04"/>
    <w:rsid w:val="00CF7D68"/>
    <w:rsid w:val="00D01901"/>
    <w:rsid w:val="00D02CC2"/>
    <w:rsid w:val="00D045F6"/>
    <w:rsid w:val="00D04A2E"/>
    <w:rsid w:val="00D05F22"/>
    <w:rsid w:val="00D06D60"/>
    <w:rsid w:val="00D10487"/>
    <w:rsid w:val="00D14455"/>
    <w:rsid w:val="00D14DAC"/>
    <w:rsid w:val="00D14DC7"/>
    <w:rsid w:val="00D15AA7"/>
    <w:rsid w:val="00D167A7"/>
    <w:rsid w:val="00D16F80"/>
    <w:rsid w:val="00D21A21"/>
    <w:rsid w:val="00D25ED9"/>
    <w:rsid w:val="00D33171"/>
    <w:rsid w:val="00D33E43"/>
    <w:rsid w:val="00D36297"/>
    <w:rsid w:val="00D37A59"/>
    <w:rsid w:val="00D41229"/>
    <w:rsid w:val="00D45321"/>
    <w:rsid w:val="00D50E14"/>
    <w:rsid w:val="00D541BC"/>
    <w:rsid w:val="00D602C2"/>
    <w:rsid w:val="00D63144"/>
    <w:rsid w:val="00D64B1C"/>
    <w:rsid w:val="00D6793A"/>
    <w:rsid w:val="00D714D5"/>
    <w:rsid w:val="00D71C4A"/>
    <w:rsid w:val="00D71F7C"/>
    <w:rsid w:val="00D77486"/>
    <w:rsid w:val="00D810A1"/>
    <w:rsid w:val="00D82250"/>
    <w:rsid w:val="00D90053"/>
    <w:rsid w:val="00D91F99"/>
    <w:rsid w:val="00D926EA"/>
    <w:rsid w:val="00D94BDF"/>
    <w:rsid w:val="00D978EB"/>
    <w:rsid w:val="00D97A65"/>
    <w:rsid w:val="00DA044A"/>
    <w:rsid w:val="00DA3A8C"/>
    <w:rsid w:val="00DA497F"/>
    <w:rsid w:val="00DA566F"/>
    <w:rsid w:val="00DA6C8B"/>
    <w:rsid w:val="00DB4313"/>
    <w:rsid w:val="00DB5865"/>
    <w:rsid w:val="00DC3627"/>
    <w:rsid w:val="00DC549B"/>
    <w:rsid w:val="00DC5EAB"/>
    <w:rsid w:val="00DC79DC"/>
    <w:rsid w:val="00DD0B82"/>
    <w:rsid w:val="00DD370E"/>
    <w:rsid w:val="00DE1E2B"/>
    <w:rsid w:val="00DE3E3C"/>
    <w:rsid w:val="00DE4522"/>
    <w:rsid w:val="00DF2A2C"/>
    <w:rsid w:val="00DF30D8"/>
    <w:rsid w:val="00DF6DE3"/>
    <w:rsid w:val="00DF7B43"/>
    <w:rsid w:val="00E00EBB"/>
    <w:rsid w:val="00E0168E"/>
    <w:rsid w:val="00E01D3F"/>
    <w:rsid w:val="00E05DFD"/>
    <w:rsid w:val="00E11AEE"/>
    <w:rsid w:val="00E1406C"/>
    <w:rsid w:val="00E149D7"/>
    <w:rsid w:val="00E17EF5"/>
    <w:rsid w:val="00E20D83"/>
    <w:rsid w:val="00E24466"/>
    <w:rsid w:val="00E24EB5"/>
    <w:rsid w:val="00E257EF"/>
    <w:rsid w:val="00E32B94"/>
    <w:rsid w:val="00E33F0E"/>
    <w:rsid w:val="00E36F56"/>
    <w:rsid w:val="00E41AA1"/>
    <w:rsid w:val="00E420E7"/>
    <w:rsid w:val="00E51DED"/>
    <w:rsid w:val="00E53322"/>
    <w:rsid w:val="00E5434B"/>
    <w:rsid w:val="00E55CC2"/>
    <w:rsid w:val="00E60B90"/>
    <w:rsid w:val="00E621CD"/>
    <w:rsid w:val="00E629D8"/>
    <w:rsid w:val="00E65956"/>
    <w:rsid w:val="00E667AE"/>
    <w:rsid w:val="00E7261B"/>
    <w:rsid w:val="00E73BE3"/>
    <w:rsid w:val="00E8189E"/>
    <w:rsid w:val="00E830B4"/>
    <w:rsid w:val="00E84286"/>
    <w:rsid w:val="00E85374"/>
    <w:rsid w:val="00E85B1B"/>
    <w:rsid w:val="00E90459"/>
    <w:rsid w:val="00E904DF"/>
    <w:rsid w:val="00E92147"/>
    <w:rsid w:val="00E937A6"/>
    <w:rsid w:val="00E95582"/>
    <w:rsid w:val="00E955E3"/>
    <w:rsid w:val="00E96D7C"/>
    <w:rsid w:val="00EA1A76"/>
    <w:rsid w:val="00EB5176"/>
    <w:rsid w:val="00EC0CDB"/>
    <w:rsid w:val="00EC431E"/>
    <w:rsid w:val="00EC5696"/>
    <w:rsid w:val="00ED05F5"/>
    <w:rsid w:val="00ED35E0"/>
    <w:rsid w:val="00EE23C0"/>
    <w:rsid w:val="00EE25B5"/>
    <w:rsid w:val="00EE4BE3"/>
    <w:rsid w:val="00EE6C47"/>
    <w:rsid w:val="00EF1778"/>
    <w:rsid w:val="00F021F3"/>
    <w:rsid w:val="00F05116"/>
    <w:rsid w:val="00F07CCE"/>
    <w:rsid w:val="00F12BCC"/>
    <w:rsid w:val="00F12FBA"/>
    <w:rsid w:val="00F23111"/>
    <w:rsid w:val="00F33808"/>
    <w:rsid w:val="00F3497D"/>
    <w:rsid w:val="00F42AA7"/>
    <w:rsid w:val="00F449B7"/>
    <w:rsid w:val="00F51335"/>
    <w:rsid w:val="00F52682"/>
    <w:rsid w:val="00F5347B"/>
    <w:rsid w:val="00F53B4D"/>
    <w:rsid w:val="00F53BAF"/>
    <w:rsid w:val="00F61B25"/>
    <w:rsid w:val="00F623D3"/>
    <w:rsid w:val="00F62E2B"/>
    <w:rsid w:val="00F62E72"/>
    <w:rsid w:val="00F64605"/>
    <w:rsid w:val="00F73795"/>
    <w:rsid w:val="00F74E49"/>
    <w:rsid w:val="00F75C35"/>
    <w:rsid w:val="00F77F84"/>
    <w:rsid w:val="00F80F4D"/>
    <w:rsid w:val="00F8295E"/>
    <w:rsid w:val="00F872A7"/>
    <w:rsid w:val="00F912C1"/>
    <w:rsid w:val="00F91478"/>
    <w:rsid w:val="00F966F0"/>
    <w:rsid w:val="00F97082"/>
    <w:rsid w:val="00FA025C"/>
    <w:rsid w:val="00FA1B64"/>
    <w:rsid w:val="00FA27B3"/>
    <w:rsid w:val="00FA36AB"/>
    <w:rsid w:val="00FB5CE8"/>
    <w:rsid w:val="00FB7548"/>
    <w:rsid w:val="00FC118C"/>
    <w:rsid w:val="00FC3B46"/>
    <w:rsid w:val="00FC4DEB"/>
    <w:rsid w:val="00FC6BEB"/>
    <w:rsid w:val="00FD23B9"/>
    <w:rsid w:val="00FD3BE8"/>
    <w:rsid w:val="00FE6205"/>
    <w:rsid w:val="00FE6996"/>
    <w:rsid w:val="00FF24BD"/>
    <w:rsid w:val="00FF523A"/>
    <w:rsid w:val="00FF54DF"/>
    <w:rsid w:val="00FF769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04EEA7"/>
  <w15:docId w15:val="{AA5EAF31-D1B3-4C7B-BA1C-AA834BA55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FA025C"/>
    <w:rPr>
      <w:sz w:val="22"/>
      <w:szCs w:val="24"/>
      <w:lang w:val="en-GB" w:eastAsia="en-US"/>
    </w:rPr>
  </w:style>
  <w:style w:type="paragraph" w:styleId="berschrift1">
    <w:name w:val="heading 1"/>
    <w:basedOn w:val="Standard"/>
    <w:next w:val="Standard"/>
    <w:link w:val="berschrift1Zchn"/>
    <w:qFormat/>
    <w:rsid w:val="00955FC7"/>
    <w:pPr>
      <w:keepNext/>
      <w:numPr>
        <w:numId w:val="1"/>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jc w:val="center"/>
      <w:textAlignment w:val="baseline"/>
      <w:outlineLvl w:val="0"/>
    </w:pPr>
    <w:rPr>
      <w:rFonts w:ascii="Arial" w:hAnsi="Arial"/>
      <w:color w:val="000000"/>
      <w:sz w:val="28"/>
      <w:szCs w:val="20"/>
      <w:lang w:eastAsia="de-DE"/>
    </w:rPr>
  </w:style>
  <w:style w:type="paragraph" w:styleId="berschrift2">
    <w:name w:val="heading 2"/>
    <w:basedOn w:val="Standard"/>
    <w:next w:val="Standard"/>
    <w:qFormat/>
    <w:pPr>
      <w:keepNext/>
      <w:widowControl w:val="0"/>
      <w:numPr>
        <w:ilvl w:val="1"/>
        <w:numId w:val="1"/>
      </w:numPr>
      <w:overflowPunct w:val="0"/>
      <w:autoSpaceDE w:val="0"/>
      <w:autoSpaceDN w:val="0"/>
      <w:adjustRightInd w:val="0"/>
      <w:textAlignment w:val="baseline"/>
      <w:outlineLvl w:val="1"/>
    </w:pPr>
    <w:rPr>
      <w:rFonts w:ascii="Arial" w:hAnsi="Arial"/>
      <w:b/>
      <w:caps/>
      <w:sz w:val="20"/>
      <w:szCs w:val="20"/>
      <w:lang w:eastAsia="de-DE"/>
    </w:rPr>
  </w:style>
  <w:style w:type="paragraph" w:styleId="berschrift3">
    <w:name w:val="heading 3"/>
    <w:aliases w:val="Heading,3"/>
    <w:basedOn w:val="Standard"/>
    <w:next w:val="Standard"/>
    <w:qFormat/>
    <w:pPr>
      <w:keepNext/>
      <w:numPr>
        <w:ilvl w:val="2"/>
        <w:numId w:val="1"/>
      </w:numPr>
      <w:overflowPunct w:val="0"/>
      <w:autoSpaceDE w:val="0"/>
      <w:autoSpaceDN w:val="0"/>
      <w:adjustRightInd w:val="0"/>
      <w:jc w:val="both"/>
      <w:textAlignment w:val="baseline"/>
      <w:outlineLvl w:val="2"/>
    </w:pPr>
    <w:rPr>
      <w:rFonts w:ascii="Arial" w:hAnsi="Arial"/>
      <w:b/>
      <w:sz w:val="20"/>
      <w:szCs w:val="20"/>
      <w:lang w:eastAsia="de-DE"/>
    </w:rPr>
  </w:style>
  <w:style w:type="paragraph" w:styleId="berschrift4">
    <w:name w:val="heading 4"/>
    <w:basedOn w:val="Standard"/>
    <w:next w:val="Standard"/>
    <w:autoRedefine/>
    <w:qFormat/>
    <w:rsid w:val="005F1D80"/>
    <w:pPr>
      <w:keepNext/>
      <w:tabs>
        <w:tab w:val="left" w:pos="-1440"/>
      </w:tabs>
      <w:spacing w:after="240" w:line="360" w:lineRule="auto"/>
      <w:outlineLvl w:val="3"/>
    </w:pPr>
    <w:rPr>
      <w:rFonts w:ascii="Arial" w:hAnsi="Arial"/>
      <w:b/>
      <w:lang w:eastAsia="de-DE"/>
    </w:rPr>
  </w:style>
  <w:style w:type="paragraph" w:styleId="berschrift5">
    <w:name w:val="heading 5"/>
    <w:basedOn w:val="Standard"/>
    <w:next w:val="Standard"/>
    <w:qFormat/>
    <w:rsid w:val="005F1D80"/>
    <w:pPr>
      <w:keepNext/>
      <w:numPr>
        <w:numId w:val="9"/>
      </w:numPr>
      <w:outlineLvl w:val="4"/>
    </w:pPr>
    <w:rPr>
      <w:rFonts w:ascii="Arial" w:hAnsi="Arial" w:cs="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link w:val="KommentartextZchn"/>
    <w:uiPriority w:val="99"/>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link w:val="SprechblasentextZchn"/>
    <w:uiPriority w:val="99"/>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uiPriority w:val="99"/>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BE5FA0"/>
    <w:rPr>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link w:val="ListenabsatzZchn"/>
    <w:uiPriority w:val="34"/>
    <w:qFormat/>
    <w:rsid w:val="00C7144A"/>
    <w:pPr>
      <w:numPr>
        <w:numId w:val="13"/>
      </w:numPr>
      <w:spacing w:after="120" w:line="276" w:lineRule="auto"/>
      <w:contextualSpacing/>
    </w:pPr>
    <w:rPr>
      <w:rFonts w:eastAsiaTheme="minorHAnsi"/>
      <w:szCs w:val="22"/>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 w:type="character" w:customStyle="1" w:styleId="ListenabsatzZchn">
    <w:name w:val="Listenabsatz Zchn"/>
    <w:basedOn w:val="Absatz-Standardschriftart"/>
    <w:link w:val="Listenabsatz"/>
    <w:uiPriority w:val="34"/>
    <w:rsid w:val="00C177EB"/>
    <w:rPr>
      <w:rFonts w:eastAsiaTheme="minorHAnsi"/>
      <w:sz w:val="22"/>
      <w:szCs w:val="22"/>
      <w:lang w:val="en-GB" w:eastAsia="en-US"/>
    </w:rPr>
  </w:style>
  <w:style w:type="paragraph" w:customStyle="1" w:styleId="Untertitel1">
    <w:name w:val="Untertitel1"/>
    <w:basedOn w:val="Standard"/>
    <w:qFormat/>
    <w:rsid w:val="00C177EB"/>
    <w:pPr>
      <w:spacing w:after="120" w:line="276" w:lineRule="auto"/>
    </w:pPr>
    <w:rPr>
      <w:rFonts w:ascii="Arial" w:hAnsi="Arial" w:cs="Arial"/>
      <w:b/>
      <w:szCs w:val="28"/>
    </w:rPr>
  </w:style>
  <w:style w:type="paragraph" w:styleId="Funotentext">
    <w:name w:val="footnote text"/>
    <w:basedOn w:val="Standard"/>
    <w:link w:val="FunotentextZchn"/>
    <w:uiPriority w:val="99"/>
    <w:unhideWhenUsed/>
    <w:rsid w:val="0065559F"/>
    <w:pPr>
      <w:spacing w:after="120" w:line="276" w:lineRule="auto"/>
    </w:pPr>
    <w:rPr>
      <w:sz w:val="20"/>
      <w:szCs w:val="20"/>
    </w:rPr>
  </w:style>
  <w:style w:type="character" w:customStyle="1" w:styleId="FunotentextZchn">
    <w:name w:val="Fußnotentext Zchn"/>
    <w:basedOn w:val="Absatz-Standardschriftart"/>
    <w:link w:val="Funotentext"/>
    <w:uiPriority w:val="99"/>
    <w:rsid w:val="0065559F"/>
    <w:rPr>
      <w:lang w:val="en-US" w:eastAsia="en-US"/>
    </w:rPr>
  </w:style>
  <w:style w:type="character" w:styleId="Funotenzeichen">
    <w:name w:val="footnote reference"/>
    <w:basedOn w:val="Absatz-Standardschriftart"/>
    <w:uiPriority w:val="99"/>
    <w:semiHidden/>
    <w:unhideWhenUsed/>
    <w:rsid w:val="0065559F"/>
    <w:rPr>
      <w:vertAlign w:val="superscript"/>
    </w:rPr>
  </w:style>
  <w:style w:type="paragraph" w:styleId="KeinLeerraum">
    <w:name w:val="No Spacing"/>
    <w:uiPriority w:val="1"/>
    <w:qFormat/>
    <w:rsid w:val="008814A9"/>
    <w:pPr>
      <w:ind w:left="720"/>
    </w:pPr>
    <w:rPr>
      <w:sz w:val="22"/>
      <w:szCs w:val="22"/>
      <w:lang w:val="en-US" w:eastAsia="en-US"/>
    </w:rPr>
  </w:style>
  <w:style w:type="paragraph" w:customStyle="1" w:styleId="Documenttitle">
    <w:name w:val="Document title"/>
    <w:basedOn w:val="Standard"/>
    <w:qFormat/>
    <w:rsid w:val="0065559F"/>
    <w:pPr>
      <w:spacing w:after="120" w:line="276" w:lineRule="auto"/>
    </w:pPr>
    <w:rPr>
      <w:rFonts w:ascii="Arial" w:hAnsi="Arial" w:cs="Arial"/>
      <w:sz w:val="28"/>
      <w:szCs w:val="28"/>
    </w:rPr>
  </w:style>
  <w:style w:type="paragraph" w:customStyle="1" w:styleId="Header2">
    <w:name w:val="Header 2"/>
    <w:basedOn w:val="Standard"/>
    <w:link w:val="Header2Zchn"/>
    <w:qFormat/>
    <w:rsid w:val="00BE5FA0"/>
    <w:pPr>
      <w:spacing w:after="120" w:line="276" w:lineRule="auto"/>
    </w:pPr>
    <w:rPr>
      <w:rFonts w:ascii="Arial" w:hAnsi="Arial" w:cs="Arial"/>
      <w:b/>
      <w:szCs w:val="28"/>
    </w:rPr>
  </w:style>
  <w:style w:type="paragraph" w:customStyle="1" w:styleId="Header1">
    <w:name w:val="Header 1"/>
    <w:basedOn w:val="Standard"/>
    <w:link w:val="Header1Zchn"/>
    <w:qFormat/>
    <w:rsid w:val="00762B85"/>
    <w:pPr>
      <w:spacing w:after="120" w:line="276" w:lineRule="auto"/>
    </w:pPr>
    <w:rPr>
      <w:rFonts w:ascii="Arial" w:hAnsi="Arial" w:cs="Arial"/>
      <w:sz w:val="28"/>
      <w:szCs w:val="28"/>
    </w:rPr>
  </w:style>
  <w:style w:type="character" w:customStyle="1" w:styleId="Header2Zchn">
    <w:name w:val="Header 2 Zchn"/>
    <w:basedOn w:val="Absatz-Standardschriftart"/>
    <w:link w:val="Header2"/>
    <w:rsid w:val="00BE5FA0"/>
    <w:rPr>
      <w:rFonts w:ascii="Arial" w:hAnsi="Arial" w:cs="Arial"/>
      <w:b/>
      <w:sz w:val="22"/>
      <w:szCs w:val="28"/>
      <w:lang w:val="en-GB" w:eastAsia="en-US"/>
    </w:rPr>
  </w:style>
  <w:style w:type="paragraph" w:customStyle="1" w:styleId="Header1centred">
    <w:name w:val="Header 1 centred"/>
    <w:basedOn w:val="Header1"/>
    <w:link w:val="Header1centredZchn"/>
    <w:qFormat/>
    <w:rsid w:val="00762B85"/>
    <w:pPr>
      <w:jc w:val="center"/>
    </w:pPr>
  </w:style>
  <w:style w:type="character" w:customStyle="1" w:styleId="Header1Zchn">
    <w:name w:val="Header 1 Zchn"/>
    <w:basedOn w:val="Absatz-Standardschriftart"/>
    <w:link w:val="Header1"/>
    <w:rsid w:val="00762B85"/>
    <w:rPr>
      <w:rFonts w:ascii="Arial" w:hAnsi="Arial" w:cs="Arial"/>
      <w:sz w:val="28"/>
      <w:szCs w:val="28"/>
      <w:lang w:val="en-GB" w:eastAsia="en-US"/>
    </w:rPr>
  </w:style>
  <w:style w:type="paragraph" w:customStyle="1" w:styleId="Bulletbold">
    <w:name w:val="Bullet bold"/>
    <w:basedOn w:val="Listenabsatz"/>
    <w:link w:val="BulletboldZchn"/>
    <w:qFormat/>
    <w:rsid w:val="001625B6"/>
    <w:pPr>
      <w:numPr>
        <w:numId w:val="2"/>
      </w:numPr>
      <w:spacing w:before="240" w:after="0"/>
      <w:ind w:left="714" w:hanging="357"/>
      <w:contextualSpacing w:val="0"/>
    </w:pPr>
    <w:rPr>
      <w:b/>
    </w:rPr>
  </w:style>
  <w:style w:type="character" w:customStyle="1" w:styleId="Header1centredZchn">
    <w:name w:val="Header 1 centred Zchn"/>
    <w:basedOn w:val="Header1Zchn"/>
    <w:link w:val="Header1centred"/>
    <w:rsid w:val="00762B85"/>
    <w:rPr>
      <w:rFonts w:ascii="Arial" w:hAnsi="Arial" w:cs="Arial"/>
      <w:sz w:val="28"/>
      <w:szCs w:val="28"/>
      <w:lang w:val="en-GB" w:eastAsia="en-US"/>
    </w:rPr>
  </w:style>
  <w:style w:type="paragraph" w:customStyle="1" w:styleId="Textkrper1">
    <w:name w:val="Textkörper1"/>
    <w:basedOn w:val="Standard"/>
    <w:link w:val="bodytextZchn"/>
    <w:qFormat/>
    <w:rsid w:val="00F3497D"/>
    <w:pPr>
      <w:spacing w:before="120" w:line="276" w:lineRule="auto"/>
    </w:pPr>
    <w:rPr>
      <w:szCs w:val="22"/>
    </w:rPr>
  </w:style>
  <w:style w:type="character" w:customStyle="1" w:styleId="BulletboldZchn">
    <w:name w:val="Bullet bold Zchn"/>
    <w:basedOn w:val="ListenabsatzZchn"/>
    <w:link w:val="Bulletbold"/>
    <w:rsid w:val="001625B6"/>
    <w:rPr>
      <w:rFonts w:eastAsiaTheme="minorHAnsi"/>
      <w:b/>
      <w:sz w:val="22"/>
      <w:szCs w:val="22"/>
      <w:lang w:val="en-GB" w:eastAsia="en-US"/>
    </w:rPr>
  </w:style>
  <w:style w:type="paragraph" w:customStyle="1" w:styleId="Numbering">
    <w:name w:val="Numbering"/>
    <w:basedOn w:val="Listenabsatz"/>
    <w:link w:val="NumberingZchn"/>
    <w:qFormat/>
    <w:rsid w:val="00AD48FE"/>
    <w:pPr>
      <w:numPr>
        <w:numId w:val="10"/>
      </w:numPr>
      <w:spacing w:after="200"/>
    </w:pPr>
  </w:style>
  <w:style w:type="character" w:customStyle="1" w:styleId="bodytextZchn">
    <w:name w:val="body text Zchn"/>
    <w:basedOn w:val="Absatz-Standardschriftart"/>
    <w:link w:val="Textkrper1"/>
    <w:rsid w:val="00F3497D"/>
    <w:rPr>
      <w:sz w:val="22"/>
      <w:szCs w:val="22"/>
      <w:lang w:val="en-US" w:eastAsia="en-US"/>
    </w:rPr>
  </w:style>
  <w:style w:type="paragraph" w:customStyle="1" w:styleId="Header3">
    <w:name w:val="Header 3"/>
    <w:basedOn w:val="Standard"/>
    <w:link w:val="Header3Zchn"/>
    <w:qFormat/>
    <w:rsid w:val="008814A9"/>
    <w:pPr>
      <w:spacing w:before="240"/>
    </w:pPr>
    <w:rPr>
      <w:rFonts w:ascii="Arial" w:hAnsi="Arial" w:cs="Arial"/>
      <w:b/>
      <w:szCs w:val="22"/>
    </w:rPr>
  </w:style>
  <w:style w:type="character" w:customStyle="1" w:styleId="NumberingZchn">
    <w:name w:val="Numbering Zchn"/>
    <w:basedOn w:val="ListenabsatzZchn"/>
    <w:link w:val="Numbering"/>
    <w:rsid w:val="00AD48FE"/>
    <w:rPr>
      <w:rFonts w:eastAsiaTheme="minorHAnsi"/>
      <w:sz w:val="22"/>
      <w:szCs w:val="22"/>
      <w:lang w:val="en-GB" w:eastAsia="en-US"/>
    </w:rPr>
  </w:style>
  <w:style w:type="character" w:customStyle="1" w:styleId="Header3Zchn">
    <w:name w:val="Header 3 Zchn"/>
    <w:basedOn w:val="Absatz-Standardschriftart"/>
    <w:link w:val="Header3"/>
    <w:rsid w:val="008814A9"/>
    <w:rPr>
      <w:rFonts w:ascii="Arial" w:hAnsi="Arial" w:cs="Arial"/>
      <w:b/>
      <w:sz w:val="22"/>
      <w:szCs w:val="22"/>
      <w:lang w:val="en-GB" w:eastAsia="en-US"/>
    </w:rPr>
  </w:style>
  <w:style w:type="character" w:customStyle="1" w:styleId="NichtaufgelsteErwhnung1">
    <w:name w:val="Nicht aufgelöste Erwähnung1"/>
    <w:basedOn w:val="Absatz-Standardschriftart"/>
    <w:uiPriority w:val="99"/>
    <w:semiHidden/>
    <w:unhideWhenUsed/>
    <w:rsid w:val="00CB0D66"/>
    <w:rPr>
      <w:color w:val="605E5C"/>
      <w:shd w:val="clear" w:color="auto" w:fill="E1DFDD"/>
    </w:rPr>
  </w:style>
  <w:style w:type="paragraph" w:styleId="berarbeitung">
    <w:name w:val="Revision"/>
    <w:hidden/>
    <w:uiPriority w:val="99"/>
    <w:semiHidden/>
    <w:rsid w:val="0093613B"/>
    <w:rPr>
      <w:sz w:val="24"/>
      <w:szCs w:val="24"/>
      <w:lang w:val="en-US" w:eastAsia="en-US"/>
    </w:rPr>
  </w:style>
  <w:style w:type="character" w:customStyle="1" w:styleId="KommentartextZchn">
    <w:name w:val="Kommentartext Zchn"/>
    <w:basedOn w:val="Absatz-Standardschriftart"/>
    <w:link w:val="Kommentartext"/>
    <w:uiPriority w:val="99"/>
    <w:semiHidden/>
    <w:rsid w:val="001606F8"/>
  </w:style>
  <w:style w:type="character" w:styleId="Buchtitel">
    <w:name w:val="Book Title"/>
    <w:basedOn w:val="Absatz-Standardschriftart"/>
    <w:uiPriority w:val="33"/>
    <w:qFormat/>
    <w:rsid w:val="0061329F"/>
    <w:rPr>
      <w:b/>
      <w:bCs/>
      <w:smallCaps/>
      <w:spacing w:val="5"/>
    </w:rPr>
  </w:style>
  <w:style w:type="paragraph" w:styleId="IntensivesZitat">
    <w:name w:val="Intense Quote"/>
    <w:basedOn w:val="Standard"/>
    <w:next w:val="Standard"/>
    <w:link w:val="IntensivesZitatZchn"/>
    <w:uiPriority w:val="30"/>
    <w:qFormat/>
    <w:rsid w:val="0061329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61329F"/>
    <w:rPr>
      <w:b/>
      <w:bCs/>
      <w:i/>
      <w:iCs/>
      <w:color w:val="4F81BD" w:themeColor="accent1"/>
      <w:sz w:val="22"/>
      <w:szCs w:val="24"/>
      <w:lang w:val="en-GB" w:eastAsia="en-US"/>
    </w:rPr>
  </w:style>
  <w:style w:type="character" w:styleId="IntensiverVerweis">
    <w:name w:val="Intense Reference"/>
    <w:basedOn w:val="Absatz-Standardschriftart"/>
    <w:uiPriority w:val="32"/>
    <w:qFormat/>
    <w:rsid w:val="0061329F"/>
    <w:rPr>
      <w:b/>
      <w:bCs/>
      <w:smallCaps/>
      <w:color w:val="C0504D" w:themeColor="accent2"/>
      <w:spacing w:val="5"/>
      <w:u w:val="single"/>
    </w:rPr>
  </w:style>
  <w:style w:type="paragraph" w:styleId="Zitat">
    <w:name w:val="Quote"/>
    <w:basedOn w:val="Standard"/>
    <w:next w:val="Standard"/>
    <w:link w:val="ZitatZchn"/>
    <w:uiPriority w:val="29"/>
    <w:qFormat/>
    <w:rsid w:val="0061329F"/>
    <w:rPr>
      <w:i/>
      <w:iCs/>
      <w:color w:val="000000" w:themeColor="text1"/>
    </w:rPr>
  </w:style>
  <w:style w:type="character" w:customStyle="1" w:styleId="ZitatZchn">
    <w:name w:val="Zitat Zchn"/>
    <w:basedOn w:val="Absatz-Standardschriftart"/>
    <w:link w:val="Zitat"/>
    <w:uiPriority w:val="29"/>
    <w:rsid w:val="0061329F"/>
    <w:rPr>
      <w:i/>
      <w:iCs/>
      <w:color w:val="000000" w:themeColor="text1"/>
      <w:sz w:val="22"/>
      <w:szCs w:val="24"/>
      <w:lang w:val="en-GB" w:eastAsia="en-US"/>
    </w:rPr>
  </w:style>
  <w:style w:type="character" w:styleId="IntensiveHervorhebung">
    <w:name w:val="Intense Emphasis"/>
    <w:basedOn w:val="Absatz-Standardschriftart"/>
    <w:uiPriority w:val="21"/>
    <w:qFormat/>
    <w:rsid w:val="0061329F"/>
    <w:rPr>
      <w:b/>
      <w:bCs/>
      <w:i/>
      <w:iCs/>
      <w:color w:val="4F81BD" w:themeColor="accent1"/>
    </w:rPr>
  </w:style>
  <w:style w:type="character" w:styleId="SchwacheHervorhebung">
    <w:name w:val="Subtle Emphasis"/>
    <w:basedOn w:val="Absatz-Standardschriftart"/>
    <w:uiPriority w:val="19"/>
    <w:qFormat/>
    <w:rsid w:val="0061329F"/>
    <w:rPr>
      <w:i/>
      <w:iCs/>
      <w:color w:val="808080" w:themeColor="text1" w:themeTint="7F"/>
    </w:rPr>
  </w:style>
  <w:style w:type="character" w:customStyle="1" w:styleId="NichtaufgelsteErwhnung2">
    <w:name w:val="Nicht aufgelöste Erwähnung2"/>
    <w:basedOn w:val="Absatz-Standardschriftart"/>
    <w:uiPriority w:val="99"/>
    <w:semiHidden/>
    <w:unhideWhenUsed/>
    <w:rsid w:val="00586336"/>
    <w:rPr>
      <w:color w:val="605E5C"/>
      <w:shd w:val="clear" w:color="auto" w:fill="E1DFDD"/>
    </w:rPr>
  </w:style>
  <w:style w:type="character" w:customStyle="1" w:styleId="SprechblasentextZchn">
    <w:name w:val="Sprechblasentext Zchn"/>
    <w:basedOn w:val="Absatz-Standardschriftart"/>
    <w:link w:val="Sprechblasentext"/>
    <w:uiPriority w:val="99"/>
    <w:semiHidden/>
    <w:rsid w:val="00C61725"/>
    <w:rPr>
      <w:rFonts w:ascii="Tahoma" w:hAnsi="Tahoma" w:cs="Tahoma"/>
      <w:sz w:val="16"/>
      <w:szCs w:val="16"/>
      <w:lang w:val="en-GB" w:eastAsia="en-US"/>
    </w:rPr>
  </w:style>
  <w:style w:type="character" w:customStyle="1" w:styleId="berschrift1Zchn">
    <w:name w:val="Überschrift 1 Zchn"/>
    <w:basedOn w:val="Absatz-Standardschriftart"/>
    <w:link w:val="berschrift1"/>
    <w:rsid w:val="00D36297"/>
    <w:rPr>
      <w:rFonts w:ascii="Arial" w:hAnsi="Arial"/>
      <w:color w:val="000000"/>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62662">
      <w:bodyDiv w:val="1"/>
      <w:marLeft w:val="0"/>
      <w:marRight w:val="0"/>
      <w:marTop w:val="0"/>
      <w:marBottom w:val="0"/>
      <w:divBdr>
        <w:top w:val="none" w:sz="0" w:space="0" w:color="auto"/>
        <w:left w:val="none" w:sz="0" w:space="0" w:color="auto"/>
        <w:bottom w:val="none" w:sz="0" w:space="0" w:color="auto"/>
        <w:right w:val="none" w:sz="0" w:space="0" w:color="auto"/>
      </w:divBdr>
    </w:div>
    <w:div w:id="12928347">
      <w:bodyDiv w:val="1"/>
      <w:marLeft w:val="0"/>
      <w:marRight w:val="0"/>
      <w:marTop w:val="0"/>
      <w:marBottom w:val="0"/>
      <w:divBdr>
        <w:top w:val="none" w:sz="0" w:space="0" w:color="auto"/>
        <w:left w:val="none" w:sz="0" w:space="0" w:color="auto"/>
        <w:bottom w:val="none" w:sz="0" w:space="0" w:color="auto"/>
        <w:right w:val="none" w:sz="0" w:space="0" w:color="auto"/>
      </w:divBdr>
    </w:div>
    <w:div w:id="41634637">
      <w:bodyDiv w:val="1"/>
      <w:marLeft w:val="0"/>
      <w:marRight w:val="0"/>
      <w:marTop w:val="0"/>
      <w:marBottom w:val="0"/>
      <w:divBdr>
        <w:top w:val="none" w:sz="0" w:space="0" w:color="auto"/>
        <w:left w:val="none" w:sz="0" w:space="0" w:color="auto"/>
        <w:bottom w:val="none" w:sz="0" w:space="0" w:color="auto"/>
        <w:right w:val="none" w:sz="0" w:space="0" w:color="auto"/>
      </w:divBdr>
    </w:div>
    <w:div w:id="54162029">
      <w:bodyDiv w:val="1"/>
      <w:marLeft w:val="0"/>
      <w:marRight w:val="0"/>
      <w:marTop w:val="0"/>
      <w:marBottom w:val="0"/>
      <w:divBdr>
        <w:top w:val="none" w:sz="0" w:space="0" w:color="auto"/>
        <w:left w:val="none" w:sz="0" w:space="0" w:color="auto"/>
        <w:bottom w:val="none" w:sz="0" w:space="0" w:color="auto"/>
        <w:right w:val="none" w:sz="0" w:space="0" w:color="auto"/>
      </w:divBdr>
    </w:div>
    <w:div w:id="134026514">
      <w:bodyDiv w:val="1"/>
      <w:marLeft w:val="0"/>
      <w:marRight w:val="0"/>
      <w:marTop w:val="0"/>
      <w:marBottom w:val="0"/>
      <w:divBdr>
        <w:top w:val="none" w:sz="0" w:space="0" w:color="auto"/>
        <w:left w:val="none" w:sz="0" w:space="0" w:color="auto"/>
        <w:bottom w:val="none" w:sz="0" w:space="0" w:color="auto"/>
        <w:right w:val="none" w:sz="0" w:space="0" w:color="auto"/>
      </w:divBdr>
    </w:div>
    <w:div w:id="166603678">
      <w:bodyDiv w:val="1"/>
      <w:marLeft w:val="0"/>
      <w:marRight w:val="0"/>
      <w:marTop w:val="0"/>
      <w:marBottom w:val="0"/>
      <w:divBdr>
        <w:top w:val="none" w:sz="0" w:space="0" w:color="auto"/>
        <w:left w:val="none" w:sz="0" w:space="0" w:color="auto"/>
        <w:bottom w:val="none" w:sz="0" w:space="0" w:color="auto"/>
        <w:right w:val="none" w:sz="0" w:space="0" w:color="auto"/>
      </w:divBdr>
    </w:div>
    <w:div w:id="174542043">
      <w:bodyDiv w:val="1"/>
      <w:marLeft w:val="0"/>
      <w:marRight w:val="0"/>
      <w:marTop w:val="0"/>
      <w:marBottom w:val="0"/>
      <w:divBdr>
        <w:top w:val="none" w:sz="0" w:space="0" w:color="auto"/>
        <w:left w:val="none" w:sz="0" w:space="0" w:color="auto"/>
        <w:bottom w:val="none" w:sz="0" w:space="0" w:color="auto"/>
        <w:right w:val="none" w:sz="0" w:space="0" w:color="auto"/>
      </w:divBdr>
    </w:div>
    <w:div w:id="196938709">
      <w:bodyDiv w:val="1"/>
      <w:marLeft w:val="0"/>
      <w:marRight w:val="0"/>
      <w:marTop w:val="0"/>
      <w:marBottom w:val="0"/>
      <w:divBdr>
        <w:top w:val="none" w:sz="0" w:space="0" w:color="auto"/>
        <w:left w:val="none" w:sz="0" w:space="0" w:color="auto"/>
        <w:bottom w:val="none" w:sz="0" w:space="0" w:color="auto"/>
        <w:right w:val="none" w:sz="0" w:space="0" w:color="auto"/>
      </w:divBdr>
    </w:div>
    <w:div w:id="201526827">
      <w:bodyDiv w:val="1"/>
      <w:marLeft w:val="0"/>
      <w:marRight w:val="0"/>
      <w:marTop w:val="0"/>
      <w:marBottom w:val="0"/>
      <w:divBdr>
        <w:top w:val="none" w:sz="0" w:space="0" w:color="auto"/>
        <w:left w:val="none" w:sz="0" w:space="0" w:color="auto"/>
        <w:bottom w:val="none" w:sz="0" w:space="0" w:color="auto"/>
        <w:right w:val="none" w:sz="0" w:space="0" w:color="auto"/>
      </w:divBdr>
    </w:div>
    <w:div w:id="227695270">
      <w:bodyDiv w:val="1"/>
      <w:marLeft w:val="0"/>
      <w:marRight w:val="0"/>
      <w:marTop w:val="0"/>
      <w:marBottom w:val="0"/>
      <w:divBdr>
        <w:top w:val="none" w:sz="0" w:space="0" w:color="auto"/>
        <w:left w:val="none" w:sz="0" w:space="0" w:color="auto"/>
        <w:bottom w:val="none" w:sz="0" w:space="0" w:color="auto"/>
        <w:right w:val="none" w:sz="0" w:space="0" w:color="auto"/>
      </w:divBdr>
    </w:div>
    <w:div w:id="229997486">
      <w:bodyDiv w:val="1"/>
      <w:marLeft w:val="0"/>
      <w:marRight w:val="0"/>
      <w:marTop w:val="0"/>
      <w:marBottom w:val="0"/>
      <w:divBdr>
        <w:top w:val="none" w:sz="0" w:space="0" w:color="auto"/>
        <w:left w:val="none" w:sz="0" w:space="0" w:color="auto"/>
        <w:bottom w:val="none" w:sz="0" w:space="0" w:color="auto"/>
        <w:right w:val="none" w:sz="0" w:space="0" w:color="auto"/>
      </w:divBdr>
    </w:div>
    <w:div w:id="235558287">
      <w:bodyDiv w:val="1"/>
      <w:marLeft w:val="0"/>
      <w:marRight w:val="0"/>
      <w:marTop w:val="0"/>
      <w:marBottom w:val="0"/>
      <w:divBdr>
        <w:top w:val="none" w:sz="0" w:space="0" w:color="auto"/>
        <w:left w:val="none" w:sz="0" w:space="0" w:color="auto"/>
        <w:bottom w:val="none" w:sz="0" w:space="0" w:color="auto"/>
        <w:right w:val="none" w:sz="0" w:space="0" w:color="auto"/>
      </w:divBdr>
    </w:div>
    <w:div w:id="272250255">
      <w:bodyDiv w:val="1"/>
      <w:marLeft w:val="0"/>
      <w:marRight w:val="0"/>
      <w:marTop w:val="0"/>
      <w:marBottom w:val="0"/>
      <w:divBdr>
        <w:top w:val="none" w:sz="0" w:space="0" w:color="auto"/>
        <w:left w:val="none" w:sz="0" w:space="0" w:color="auto"/>
        <w:bottom w:val="none" w:sz="0" w:space="0" w:color="auto"/>
        <w:right w:val="none" w:sz="0" w:space="0" w:color="auto"/>
      </w:divBdr>
    </w:div>
    <w:div w:id="286589598">
      <w:bodyDiv w:val="1"/>
      <w:marLeft w:val="0"/>
      <w:marRight w:val="0"/>
      <w:marTop w:val="0"/>
      <w:marBottom w:val="0"/>
      <w:divBdr>
        <w:top w:val="none" w:sz="0" w:space="0" w:color="auto"/>
        <w:left w:val="none" w:sz="0" w:space="0" w:color="auto"/>
        <w:bottom w:val="none" w:sz="0" w:space="0" w:color="auto"/>
        <w:right w:val="none" w:sz="0" w:space="0" w:color="auto"/>
      </w:divBdr>
    </w:div>
    <w:div w:id="298657072">
      <w:bodyDiv w:val="1"/>
      <w:marLeft w:val="0"/>
      <w:marRight w:val="0"/>
      <w:marTop w:val="0"/>
      <w:marBottom w:val="0"/>
      <w:divBdr>
        <w:top w:val="none" w:sz="0" w:space="0" w:color="auto"/>
        <w:left w:val="none" w:sz="0" w:space="0" w:color="auto"/>
        <w:bottom w:val="none" w:sz="0" w:space="0" w:color="auto"/>
        <w:right w:val="none" w:sz="0" w:space="0" w:color="auto"/>
      </w:divBdr>
    </w:div>
    <w:div w:id="363136428">
      <w:bodyDiv w:val="1"/>
      <w:marLeft w:val="0"/>
      <w:marRight w:val="0"/>
      <w:marTop w:val="0"/>
      <w:marBottom w:val="0"/>
      <w:divBdr>
        <w:top w:val="none" w:sz="0" w:space="0" w:color="auto"/>
        <w:left w:val="none" w:sz="0" w:space="0" w:color="auto"/>
        <w:bottom w:val="none" w:sz="0" w:space="0" w:color="auto"/>
        <w:right w:val="none" w:sz="0" w:space="0" w:color="auto"/>
      </w:divBdr>
    </w:div>
    <w:div w:id="372265294">
      <w:bodyDiv w:val="1"/>
      <w:marLeft w:val="0"/>
      <w:marRight w:val="0"/>
      <w:marTop w:val="0"/>
      <w:marBottom w:val="0"/>
      <w:divBdr>
        <w:top w:val="none" w:sz="0" w:space="0" w:color="auto"/>
        <w:left w:val="none" w:sz="0" w:space="0" w:color="auto"/>
        <w:bottom w:val="none" w:sz="0" w:space="0" w:color="auto"/>
        <w:right w:val="none" w:sz="0" w:space="0" w:color="auto"/>
      </w:divBdr>
    </w:div>
    <w:div w:id="379205237">
      <w:bodyDiv w:val="1"/>
      <w:marLeft w:val="0"/>
      <w:marRight w:val="0"/>
      <w:marTop w:val="0"/>
      <w:marBottom w:val="0"/>
      <w:divBdr>
        <w:top w:val="none" w:sz="0" w:space="0" w:color="auto"/>
        <w:left w:val="none" w:sz="0" w:space="0" w:color="auto"/>
        <w:bottom w:val="none" w:sz="0" w:space="0" w:color="auto"/>
        <w:right w:val="none" w:sz="0" w:space="0" w:color="auto"/>
      </w:divBdr>
    </w:div>
    <w:div w:id="406999406">
      <w:bodyDiv w:val="1"/>
      <w:marLeft w:val="0"/>
      <w:marRight w:val="0"/>
      <w:marTop w:val="0"/>
      <w:marBottom w:val="0"/>
      <w:divBdr>
        <w:top w:val="none" w:sz="0" w:space="0" w:color="auto"/>
        <w:left w:val="none" w:sz="0" w:space="0" w:color="auto"/>
        <w:bottom w:val="none" w:sz="0" w:space="0" w:color="auto"/>
        <w:right w:val="none" w:sz="0" w:space="0" w:color="auto"/>
      </w:divBdr>
    </w:div>
    <w:div w:id="416944916">
      <w:bodyDiv w:val="1"/>
      <w:marLeft w:val="0"/>
      <w:marRight w:val="0"/>
      <w:marTop w:val="0"/>
      <w:marBottom w:val="0"/>
      <w:divBdr>
        <w:top w:val="none" w:sz="0" w:space="0" w:color="auto"/>
        <w:left w:val="none" w:sz="0" w:space="0" w:color="auto"/>
        <w:bottom w:val="none" w:sz="0" w:space="0" w:color="auto"/>
        <w:right w:val="none" w:sz="0" w:space="0" w:color="auto"/>
      </w:divBdr>
    </w:div>
    <w:div w:id="416950402">
      <w:bodyDiv w:val="1"/>
      <w:marLeft w:val="0"/>
      <w:marRight w:val="0"/>
      <w:marTop w:val="0"/>
      <w:marBottom w:val="0"/>
      <w:divBdr>
        <w:top w:val="none" w:sz="0" w:space="0" w:color="auto"/>
        <w:left w:val="none" w:sz="0" w:space="0" w:color="auto"/>
        <w:bottom w:val="none" w:sz="0" w:space="0" w:color="auto"/>
        <w:right w:val="none" w:sz="0" w:space="0" w:color="auto"/>
      </w:divBdr>
    </w:div>
    <w:div w:id="428084032">
      <w:bodyDiv w:val="1"/>
      <w:marLeft w:val="0"/>
      <w:marRight w:val="0"/>
      <w:marTop w:val="0"/>
      <w:marBottom w:val="0"/>
      <w:divBdr>
        <w:top w:val="none" w:sz="0" w:space="0" w:color="auto"/>
        <w:left w:val="none" w:sz="0" w:space="0" w:color="auto"/>
        <w:bottom w:val="none" w:sz="0" w:space="0" w:color="auto"/>
        <w:right w:val="none" w:sz="0" w:space="0" w:color="auto"/>
      </w:divBdr>
    </w:div>
    <w:div w:id="493450154">
      <w:bodyDiv w:val="1"/>
      <w:marLeft w:val="0"/>
      <w:marRight w:val="0"/>
      <w:marTop w:val="0"/>
      <w:marBottom w:val="0"/>
      <w:divBdr>
        <w:top w:val="none" w:sz="0" w:space="0" w:color="auto"/>
        <w:left w:val="none" w:sz="0" w:space="0" w:color="auto"/>
        <w:bottom w:val="none" w:sz="0" w:space="0" w:color="auto"/>
        <w:right w:val="none" w:sz="0" w:space="0" w:color="auto"/>
      </w:divBdr>
    </w:div>
    <w:div w:id="518083348">
      <w:bodyDiv w:val="1"/>
      <w:marLeft w:val="0"/>
      <w:marRight w:val="0"/>
      <w:marTop w:val="0"/>
      <w:marBottom w:val="0"/>
      <w:divBdr>
        <w:top w:val="none" w:sz="0" w:space="0" w:color="auto"/>
        <w:left w:val="none" w:sz="0" w:space="0" w:color="auto"/>
        <w:bottom w:val="none" w:sz="0" w:space="0" w:color="auto"/>
        <w:right w:val="none" w:sz="0" w:space="0" w:color="auto"/>
      </w:divBdr>
    </w:div>
    <w:div w:id="532427022">
      <w:bodyDiv w:val="1"/>
      <w:marLeft w:val="0"/>
      <w:marRight w:val="0"/>
      <w:marTop w:val="0"/>
      <w:marBottom w:val="0"/>
      <w:divBdr>
        <w:top w:val="none" w:sz="0" w:space="0" w:color="auto"/>
        <w:left w:val="none" w:sz="0" w:space="0" w:color="auto"/>
        <w:bottom w:val="none" w:sz="0" w:space="0" w:color="auto"/>
        <w:right w:val="none" w:sz="0" w:space="0" w:color="auto"/>
      </w:divBdr>
    </w:div>
    <w:div w:id="543909536">
      <w:bodyDiv w:val="1"/>
      <w:marLeft w:val="0"/>
      <w:marRight w:val="0"/>
      <w:marTop w:val="0"/>
      <w:marBottom w:val="0"/>
      <w:divBdr>
        <w:top w:val="none" w:sz="0" w:space="0" w:color="auto"/>
        <w:left w:val="none" w:sz="0" w:space="0" w:color="auto"/>
        <w:bottom w:val="none" w:sz="0" w:space="0" w:color="auto"/>
        <w:right w:val="none" w:sz="0" w:space="0" w:color="auto"/>
      </w:divBdr>
    </w:div>
    <w:div w:id="546526505">
      <w:bodyDiv w:val="1"/>
      <w:marLeft w:val="0"/>
      <w:marRight w:val="0"/>
      <w:marTop w:val="0"/>
      <w:marBottom w:val="0"/>
      <w:divBdr>
        <w:top w:val="none" w:sz="0" w:space="0" w:color="auto"/>
        <w:left w:val="none" w:sz="0" w:space="0" w:color="auto"/>
        <w:bottom w:val="none" w:sz="0" w:space="0" w:color="auto"/>
        <w:right w:val="none" w:sz="0" w:space="0" w:color="auto"/>
      </w:divBdr>
    </w:div>
    <w:div w:id="556671503">
      <w:bodyDiv w:val="1"/>
      <w:marLeft w:val="0"/>
      <w:marRight w:val="0"/>
      <w:marTop w:val="0"/>
      <w:marBottom w:val="0"/>
      <w:divBdr>
        <w:top w:val="none" w:sz="0" w:space="0" w:color="auto"/>
        <w:left w:val="none" w:sz="0" w:space="0" w:color="auto"/>
        <w:bottom w:val="none" w:sz="0" w:space="0" w:color="auto"/>
        <w:right w:val="none" w:sz="0" w:space="0" w:color="auto"/>
      </w:divBdr>
    </w:div>
    <w:div w:id="596868308">
      <w:bodyDiv w:val="1"/>
      <w:marLeft w:val="0"/>
      <w:marRight w:val="0"/>
      <w:marTop w:val="0"/>
      <w:marBottom w:val="0"/>
      <w:divBdr>
        <w:top w:val="none" w:sz="0" w:space="0" w:color="auto"/>
        <w:left w:val="none" w:sz="0" w:space="0" w:color="auto"/>
        <w:bottom w:val="none" w:sz="0" w:space="0" w:color="auto"/>
        <w:right w:val="none" w:sz="0" w:space="0" w:color="auto"/>
      </w:divBdr>
    </w:div>
    <w:div w:id="690837153">
      <w:bodyDiv w:val="1"/>
      <w:marLeft w:val="0"/>
      <w:marRight w:val="0"/>
      <w:marTop w:val="0"/>
      <w:marBottom w:val="0"/>
      <w:divBdr>
        <w:top w:val="none" w:sz="0" w:space="0" w:color="auto"/>
        <w:left w:val="none" w:sz="0" w:space="0" w:color="auto"/>
        <w:bottom w:val="none" w:sz="0" w:space="0" w:color="auto"/>
        <w:right w:val="none" w:sz="0" w:space="0" w:color="auto"/>
      </w:divBdr>
    </w:div>
    <w:div w:id="699863949">
      <w:bodyDiv w:val="1"/>
      <w:marLeft w:val="0"/>
      <w:marRight w:val="0"/>
      <w:marTop w:val="0"/>
      <w:marBottom w:val="0"/>
      <w:divBdr>
        <w:top w:val="none" w:sz="0" w:space="0" w:color="auto"/>
        <w:left w:val="none" w:sz="0" w:space="0" w:color="auto"/>
        <w:bottom w:val="none" w:sz="0" w:space="0" w:color="auto"/>
        <w:right w:val="none" w:sz="0" w:space="0" w:color="auto"/>
      </w:divBdr>
    </w:div>
    <w:div w:id="710033689">
      <w:bodyDiv w:val="1"/>
      <w:marLeft w:val="0"/>
      <w:marRight w:val="0"/>
      <w:marTop w:val="0"/>
      <w:marBottom w:val="0"/>
      <w:divBdr>
        <w:top w:val="none" w:sz="0" w:space="0" w:color="auto"/>
        <w:left w:val="none" w:sz="0" w:space="0" w:color="auto"/>
        <w:bottom w:val="none" w:sz="0" w:space="0" w:color="auto"/>
        <w:right w:val="none" w:sz="0" w:space="0" w:color="auto"/>
      </w:divBdr>
    </w:div>
    <w:div w:id="739325690">
      <w:bodyDiv w:val="1"/>
      <w:marLeft w:val="0"/>
      <w:marRight w:val="0"/>
      <w:marTop w:val="0"/>
      <w:marBottom w:val="0"/>
      <w:divBdr>
        <w:top w:val="none" w:sz="0" w:space="0" w:color="auto"/>
        <w:left w:val="none" w:sz="0" w:space="0" w:color="auto"/>
        <w:bottom w:val="none" w:sz="0" w:space="0" w:color="auto"/>
        <w:right w:val="none" w:sz="0" w:space="0" w:color="auto"/>
      </w:divBdr>
    </w:div>
    <w:div w:id="746340204">
      <w:bodyDiv w:val="1"/>
      <w:marLeft w:val="0"/>
      <w:marRight w:val="0"/>
      <w:marTop w:val="0"/>
      <w:marBottom w:val="0"/>
      <w:divBdr>
        <w:top w:val="none" w:sz="0" w:space="0" w:color="auto"/>
        <w:left w:val="none" w:sz="0" w:space="0" w:color="auto"/>
        <w:bottom w:val="none" w:sz="0" w:space="0" w:color="auto"/>
        <w:right w:val="none" w:sz="0" w:space="0" w:color="auto"/>
      </w:divBdr>
    </w:div>
    <w:div w:id="798231245">
      <w:bodyDiv w:val="1"/>
      <w:marLeft w:val="0"/>
      <w:marRight w:val="0"/>
      <w:marTop w:val="0"/>
      <w:marBottom w:val="0"/>
      <w:divBdr>
        <w:top w:val="none" w:sz="0" w:space="0" w:color="auto"/>
        <w:left w:val="none" w:sz="0" w:space="0" w:color="auto"/>
        <w:bottom w:val="none" w:sz="0" w:space="0" w:color="auto"/>
        <w:right w:val="none" w:sz="0" w:space="0" w:color="auto"/>
      </w:divBdr>
    </w:div>
    <w:div w:id="814220687">
      <w:bodyDiv w:val="1"/>
      <w:marLeft w:val="0"/>
      <w:marRight w:val="0"/>
      <w:marTop w:val="0"/>
      <w:marBottom w:val="0"/>
      <w:divBdr>
        <w:top w:val="none" w:sz="0" w:space="0" w:color="auto"/>
        <w:left w:val="none" w:sz="0" w:space="0" w:color="auto"/>
        <w:bottom w:val="none" w:sz="0" w:space="0" w:color="auto"/>
        <w:right w:val="none" w:sz="0" w:space="0" w:color="auto"/>
      </w:divBdr>
    </w:div>
    <w:div w:id="821778401">
      <w:bodyDiv w:val="1"/>
      <w:marLeft w:val="0"/>
      <w:marRight w:val="0"/>
      <w:marTop w:val="0"/>
      <w:marBottom w:val="0"/>
      <w:divBdr>
        <w:top w:val="none" w:sz="0" w:space="0" w:color="auto"/>
        <w:left w:val="none" w:sz="0" w:space="0" w:color="auto"/>
        <w:bottom w:val="none" w:sz="0" w:space="0" w:color="auto"/>
        <w:right w:val="none" w:sz="0" w:space="0" w:color="auto"/>
      </w:divBdr>
    </w:div>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837041228">
      <w:bodyDiv w:val="1"/>
      <w:marLeft w:val="0"/>
      <w:marRight w:val="0"/>
      <w:marTop w:val="0"/>
      <w:marBottom w:val="0"/>
      <w:divBdr>
        <w:top w:val="none" w:sz="0" w:space="0" w:color="auto"/>
        <w:left w:val="none" w:sz="0" w:space="0" w:color="auto"/>
        <w:bottom w:val="none" w:sz="0" w:space="0" w:color="auto"/>
        <w:right w:val="none" w:sz="0" w:space="0" w:color="auto"/>
      </w:divBdr>
    </w:div>
    <w:div w:id="933781811">
      <w:bodyDiv w:val="1"/>
      <w:marLeft w:val="0"/>
      <w:marRight w:val="0"/>
      <w:marTop w:val="0"/>
      <w:marBottom w:val="0"/>
      <w:divBdr>
        <w:top w:val="none" w:sz="0" w:space="0" w:color="auto"/>
        <w:left w:val="none" w:sz="0" w:space="0" w:color="auto"/>
        <w:bottom w:val="none" w:sz="0" w:space="0" w:color="auto"/>
        <w:right w:val="none" w:sz="0" w:space="0" w:color="auto"/>
      </w:divBdr>
    </w:div>
    <w:div w:id="945695555">
      <w:bodyDiv w:val="1"/>
      <w:marLeft w:val="0"/>
      <w:marRight w:val="0"/>
      <w:marTop w:val="0"/>
      <w:marBottom w:val="0"/>
      <w:divBdr>
        <w:top w:val="none" w:sz="0" w:space="0" w:color="auto"/>
        <w:left w:val="none" w:sz="0" w:space="0" w:color="auto"/>
        <w:bottom w:val="none" w:sz="0" w:space="0" w:color="auto"/>
        <w:right w:val="none" w:sz="0" w:space="0" w:color="auto"/>
      </w:divBdr>
    </w:div>
    <w:div w:id="948008489">
      <w:bodyDiv w:val="1"/>
      <w:marLeft w:val="0"/>
      <w:marRight w:val="0"/>
      <w:marTop w:val="0"/>
      <w:marBottom w:val="0"/>
      <w:divBdr>
        <w:top w:val="none" w:sz="0" w:space="0" w:color="auto"/>
        <w:left w:val="none" w:sz="0" w:space="0" w:color="auto"/>
        <w:bottom w:val="none" w:sz="0" w:space="0" w:color="auto"/>
        <w:right w:val="none" w:sz="0" w:space="0" w:color="auto"/>
      </w:divBdr>
    </w:div>
    <w:div w:id="983199731">
      <w:bodyDiv w:val="1"/>
      <w:marLeft w:val="0"/>
      <w:marRight w:val="0"/>
      <w:marTop w:val="0"/>
      <w:marBottom w:val="0"/>
      <w:divBdr>
        <w:top w:val="none" w:sz="0" w:space="0" w:color="auto"/>
        <w:left w:val="none" w:sz="0" w:space="0" w:color="auto"/>
        <w:bottom w:val="none" w:sz="0" w:space="0" w:color="auto"/>
        <w:right w:val="none" w:sz="0" w:space="0" w:color="auto"/>
      </w:divBdr>
    </w:div>
    <w:div w:id="998731155">
      <w:bodyDiv w:val="1"/>
      <w:marLeft w:val="0"/>
      <w:marRight w:val="0"/>
      <w:marTop w:val="0"/>
      <w:marBottom w:val="0"/>
      <w:divBdr>
        <w:top w:val="none" w:sz="0" w:space="0" w:color="auto"/>
        <w:left w:val="none" w:sz="0" w:space="0" w:color="auto"/>
        <w:bottom w:val="none" w:sz="0" w:space="0" w:color="auto"/>
        <w:right w:val="none" w:sz="0" w:space="0" w:color="auto"/>
      </w:divBdr>
    </w:div>
    <w:div w:id="1001394889">
      <w:bodyDiv w:val="1"/>
      <w:marLeft w:val="0"/>
      <w:marRight w:val="0"/>
      <w:marTop w:val="0"/>
      <w:marBottom w:val="0"/>
      <w:divBdr>
        <w:top w:val="none" w:sz="0" w:space="0" w:color="auto"/>
        <w:left w:val="none" w:sz="0" w:space="0" w:color="auto"/>
        <w:bottom w:val="none" w:sz="0" w:space="0" w:color="auto"/>
        <w:right w:val="none" w:sz="0" w:space="0" w:color="auto"/>
      </w:divBdr>
    </w:div>
    <w:div w:id="1013459512">
      <w:bodyDiv w:val="1"/>
      <w:marLeft w:val="0"/>
      <w:marRight w:val="0"/>
      <w:marTop w:val="0"/>
      <w:marBottom w:val="0"/>
      <w:divBdr>
        <w:top w:val="none" w:sz="0" w:space="0" w:color="auto"/>
        <w:left w:val="none" w:sz="0" w:space="0" w:color="auto"/>
        <w:bottom w:val="none" w:sz="0" w:space="0" w:color="auto"/>
        <w:right w:val="none" w:sz="0" w:space="0" w:color="auto"/>
      </w:divBdr>
    </w:div>
    <w:div w:id="1052726935">
      <w:bodyDiv w:val="1"/>
      <w:marLeft w:val="0"/>
      <w:marRight w:val="0"/>
      <w:marTop w:val="0"/>
      <w:marBottom w:val="0"/>
      <w:divBdr>
        <w:top w:val="none" w:sz="0" w:space="0" w:color="auto"/>
        <w:left w:val="none" w:sz="0" w:space="0" w:color="auto"/>
        <w:bottom w:val="none" w:sz="0" w:space="0" w:color="auto"/>
        <w:right w:val="none" w:sz="0" w:space="0" w:color="auto"/>
      </w:divBdr>
    </w:div>
    <w:div w:id="1062170265">
      <w:bodyDiv w:val="1"/>
      <w:marLeft w:val="0"/>
      <w:marRight w:val="0"/>
      <w:marTop w:val="0"/>
      <w:marBottom w:val="0"/>
      <w:divBdr>
        <w:top w:val="none" w:sz="0" w:space="0" w:color="auto"/>
        <w:left w:val="none" w:sz="0" w:space="0" w:color="auto"/>
        <w:bottom w:val="none" w:sz="0" w:space="0" w:color="auto"/>
        <w:right w:val="none" w:sz="0" w:space="0" w:color="auto"/>
      </w:divBdr>
    </w:div>
    <w:div w:id="1078021411">
      <w:bodyDiv w:val="1"/>
      <w:marLeft w:val="0"/>
      <w:marRight w:val="0"/>
      <w:marTop w:val="0"/>
      <w:marBottom w:val="0"/>
      <w:divBdr>
        <w:top w:val="none" w:sz="0" w:space="0" w:color="auto"/>
        <w:left w:val="none" w:sz="0" w:space="0" w:color="auto"/>
        <w:bottom w:val="none" w:sz="0" w:space="0" w:color="auto"/>
        <w:right w:val="none" w:sz="0" w:space="0" w:color="auto"/>
      </w:divBdr>
    </w:div>
    <w:div w:id="1091781482">
      <w:bodyDiv w:val="1"/>
      <w:marLeft w:val="0"/>
      <w:marRight w:val="0"/>
      <w:marTop w:val="0"/>
      <w:marBottom w:val="0"/>
      <w:divBdr>
        <w:top w:val="none" w:sz="0" w:space="0" w:color="auto"/>
        <w:left w:val="none" w:sz="0" w:space="0" w:color="auto"/>
        <w:bottom w:val="none" w:sz="0" w:space="0" w:color="auto"/>
        <w:right w:val="none" w:sz="0" w:space="0" w:color="auto"/>
      </w:divBdr>
    </w:div>
    <w:div w:id="1134910301">
      <w:bodyDiv w:val="1"/>
      <w:marLeft w:val="0"/>
      <w:marRight w:val="0"/>
      <w:marTop w:val="0"/>
      <w:marBottom w:val="0"/>
      <w:divBdr>
        <w:top w:val="none" w:sz="0" w:space="0" w:color="auto"/>
        <w:left w:val="none" w:sz="0" w:space="0" w:color="auto"/>
        <w:bottom w:val="none" w:sz="0" w:space="0" w:color="auto"/>
        <w:right w:val="none" w:sz="0" w:space="0" w:color="auto"/>
      </w:divBdr>
    </w:div>
    <w:div w:id="1141970328">
      <w:bodyDiv w:val="1"/>
      <w:marLeft w:val="0"/>
      <w:marRight w:val="0"/>
      <w:marTop w:val="0"/>
      <w:marBottom w:val="0"/>
      <w:divBdr>
        <w:top w:val="none" w:sz="0" w:space="0" w:color="auto"/>
        <w:left w:val="none" w:sz="0" w:space="0" w:color="auto"/>
        <w:bottom w:val="none" w:sz="0" w:space="0" w:color="auto"/>
        <w:right w:val="none" w:sz="0" w:space="0" w:color="auto"/>
      </w:divBdr>
    </w:div>
    <w:div w:id="1151747963">
      <w:bodyDiv w:val="1"/>
      <w:marLeft w:val="0"/>
      <w:marRight w:val="0"/>
      <w:marTop w:val="0"/>
      <w:marBottom w:val="0"/>
      <w:divBdr>
        <w:top w:val="none" w:sz="0" w:space="0" w:color="auto"/>
        <w:left w:val="none" w:sz="0" w:space="0" w:color="auto"/>
        <w:bottom w:val="none" w:sz="0" w:space="0" w:color="auto"/>
        <w:right w:val="none" w:sz="0" w:space="0" w:color="auto"/>
      </w:divBdr>
    </w:div>
    <w:div w:id="1152914888">
      <w:bodyDiv w:val="1"/>
      <w:marLeft w:val="0"/>
      <w:marRight w:val="0"/>
      <w:marTop w:val="0"/>
      <w:marBottom w:val="0"/>
      <w:divBdr>
        <w:top w:val="none" w:sz="0" w:space="0" w:color="auto"/>
        <w:left w:val="none" w:sz="0" w:space="0" w:color="auto"/>
        <w:bottom w:val="none" w:sz="0" w:space="0" w:color="auto"/>
        <w:right w:val="none" w:sz="0" w:space="0" w:color="auto"/>
      </w:divBdr>
    </w:div>
    <w:div w:id="1154757347">
      <w:bodyDiv w:val="1"/>
      <w:marLeft w:val="0"/>
      <w:marRight w:val="0"/>
      <w:marTop w:val="0"/>
      <w:marBottom w:val="0"/>
      <w:divBdr>
        <w:top w:val="none" w:sz="0" w:space="0" w:color="auto"/>
        <w:left w:val="none" w:sz="0" w:space="0" w:color="auto"/>
        <w:bottom w:val="none" w:sz="0" w:space="0" w:color="auto"/>
        <w:right w:val="none" w:sz="0" w:space="0" w:color="auto"/>
      </w:divBdr>
    </w:div>
    <w:div w:id="1181747549">
      <w:bodyDiv w:val="1"/>
      <w:marLeft w:val="0"/>
      <w:marRight w:val="0"/>
      <w:marTop w:val="0"/>
      <w:marBottom w:val="0"/>
      <w:divBdr>
        <w:top w:val="none" w:sz="0" w:space="0" w:color="auto"/>
        <w:left w:val="none" w:sz="0" w:space="0" w:color="auto"/>
        <w:bottom w:val="none" w:sz="0" w:space="0" w:color="auto"/>
        <w:right w:val="none" w:sz="0" w:space="0" w:color="auto"/>
      </w:divBdr>
    </w:div>
    <w:div w:id="1184438058">
      <w:bodyDiv w:val="1"/>
      <w:marLeft w:val="0"/>
      <w:marRight w:val="0"/>
      <w:marTop w:val="0"/>
      <w:marBottom w:val="0"/>
      <w:divBdr>
        <w:top w:val="none" w:sz="0" w:space="0" w:color="auto"/>
        <w:left w:val="none" w:sz="0" w:space="0" w:color="auto"/>
        <w:bottom w:val="none" w:sz="0" w:space="0" w:color="auto"/>
        <w:right w:val="none" w:sz="0" w:space="0" w:color="auto"/>
      </w:divBdr>
    </w:div>
    <w:div w:id="1195996510">
      <w:bodyDiv w:val="1"/>
      <w:marLeft w:val="0"/>
      <w:marRight w:val="0"/>
      <w:marTop w:val="0"/>
      <w:marBottom w:val="0"/>
      <w:divBdr>
        <w:top w:val="none" w:sz="0" w:space="0" w:color="auto"/>
        <w:left w:val="none" w:sz="0" w:space="0" w:color="auto"/>
        <w:bottom w:val="none" w:sz="0" w:space="0" w:color="auto"/>
        <w:right w:val="none" w:sz="0" w:space="0" w:color="auto"/>
      </w:divBdr>
    </w:div>
    <w:div w:id="1201822826">
      <w:bodyDiv w:val="1"/>
      <w:marLeft w:val="0"/>
      <w:marRight w:val="0"/>
      <w:marTop w:val="0"/>
      <w:marBottom w:val="0"/>
      <w:divBdr>
        <w:top w:val="none" w:sz="0" w:space="0" w:color="auto"/>
        <w:left w:val="none" w:sz="0" w:space="0" w:color="auto"/>
        <w:bottom w:val="none" w:sz="0" w:space="0" w:color="auto"/>
        <w:right w:val="none" w:sz="0" w:space="0" w:color="auto"/>
      </w:divBdr>
    </w:div>
    <w:div w:id="1323311656">
      <w:bodyDiv w:val="1"/>
      <w:marLeft w:val="0"/>
      <w:marRight w:val="0"/>
      <w:marTop w:val="0"/>
      <w:marBottom w:val="0"/>
      <w:divBdr>
        <w:top w:val="none" w:sz="0" w:space="0" w:color="auto"/>
        <w:left w:val="none" w:sz="0" w:space="0" w:color="auto"/>
        <w:bottom w:val="none" w:sz="0" w:space="0" w:color="auto"/>
        <w:right w:val="none" w:sz="0" w:space="0" w:color="auto"/>
      </w:divBdr>
    </w:div>
    <w:div w:id="1330521029">
      <w:bodyDiv w:val="1"/>
      <w:marLeft w:val="0"/>
      <w:marRight w:val="0"/>
      <w:marTop w:val="0"/>
      <w:marBottom w:val="0"/>
      <w:divBdr>
        <w:top w:val="none" w:sz="0" w:space="0" w:color="auto"/>
        <w:left w:val="none" w:sz="0" w:space="0" w:color="auto"/>
        <w:bottom w:val="none" w:sz="0" w:space="0" w:color="auto"/>
        <w:right w:val="none" w:sz="0" w:space="0" w:color="auto"/>
      </w:divBdr>
    </w:div>
    <w:div w:id="1333952071">
      <w:bodyDiv w:val="1"/>
      <w:marLeft w:val="0"/>
      <w:marRight w:val="0"/>
      <w:marTop w:val="0"/>
      <w:marBottom w:val="0"/>
      <w:divBdr>
        <w:top w:val="none" w:sz="0" w:space="0" w:color="auto"/>
        <w:left w:val="none" w:sz="0" w:space="0" w:color="auto"/>
        <w:bottom w:val="none" w:sz="0" w:space="0" w:color="auto"/>
        <w:right w:val="none" w:sz="0" w:space="0" w:color="auto"/>
      </w:divBdr>
    </w:div>
    <w:div w:id="1417675336">
      <w:bodyDiv w:val="1"/>
      <w:marLeft w:val="0"/>
      <w:marRight w:val="0"/>
      <w:marTop w:val="0"/>
      <w:marBottom w:val="0"/>
      <w:divBdr>
        <w:top w:val="none" w:sz="0" w:space="0" w:color="auto"/>
        <w:left w:val="none" w:sz="0" w:space="0" w:color="auto"/>
        <w:bottom w:val="none" w:sz="0" w:space="0" w:color="auto"/>
        <w:right w:val="none" w:sz="0" w:space="0" w:color="auto"/>
      </w:divBdr>
    </w:div>
    <w:div w:id="1511334630">
      <w:bodyDiv w:val="1"/>
      <w:marLeft w:val="0"/>
      <w:marRight w:val="0"/>
      <w:marTop w:val="0"/>
      <w:marBottom w:val="0"/>
      <w:divBdr>
        <w:top w:val="none" w:sz="0" w:space="0" w:color="auto"/>
        <w:left w:val="none" w:sz="0" w:space="0" w:color="auto"/>
        <w:bottom w:val="none" w:sz="0" w:space="0" w:color="auto"/>
        <w:right w:val="none" w:sz="0" w:space="0" w:color="auto"/>
      </w:divBdr>
    </w:div>
    <w:div w:id="1523741182">
      <w:bodyDiv w:val="1"/>
      <w:marLeft w:val="0"/>
      <w:marRight w:val="0"/>
      <w:marTop w:val="0"/>
      <w:marBottom w:val="0"/>
      <w:divBdr>
        <w:top w:val="none" w:sz="0" w:space="0" w:color="auto"/>
        <w:left w:val="none" w:sz="0" w:space="0" w:color="auto"/>
        <w:bottom w:val="none" w:sz="0" w:space="0" w:color="auto"/>
        <w:right w:val="none" w:sz="0" w:space="0" w:color="auto"/>
      </w:divBdr>
    </w:div>
    <w:div w:id="1682656975">
      <w:bodyDiv w:val="1"/>
      <w:marLeft w:val="0"/>
      <w:marRight w:val="0"/>
      <w:marTop w:val="0"/>
      <w:marBottom w:val="0"/>
      <w:divBdr>
        <w:top w:val="none" w:sz="0" w:space="0" w:color="auto"/>
        <w:left w:val="none" w:sz="0" w:space="0" w:color="auto"/>
        <w:bottom w:val="none" w:sz="0" w:space="0" w:color="auto"/>
        <w:right w:val="none" w:sz="0" w:space="0" w:color="auto"/>
      </w:divBdr>
    </w:div>
    <w:div w:id="1709911459">
      <w:bodyDiv w:val="1"/>
      <w:marLeft w:val="0"/>
      <w:marRight w:val="0"/>
      <w:marTop w:val="0"/>
      <w:marBottom w:val="0"/>
      <w:divBdr>
        <w:top w:val="none" w:sz="0" w:space="0" w:color="auto"/>
        <w:left w:val="none" w:sz="0" w:space="0" w:color="auto"/>
        <w:bottom w:val="none" w:sz="0" w:space="0" w:color="auto"/>
        <w:right w:val="none" w:sz="0" w:space="0" w:color="auto"/>
      </w:divBdr>
    </w:div>
    <w:div w:id="1720591961">
      <w:bodyDiv w:val="1"/>
      <w:marLeft w:val="0"/>
      <w:marRight w:val="0"/>
      <w:marTop w:val="0"/>
      <w:marBottom w:val="0"/>
      <w:divBdr>
        <w:top w:val="none" w:sz="0" w:space="0" w:color="auto"/>
        <w:left w:val="none" w:sz="0" w:space="0" w:color="auto"/>
        <w:bottom w:val="none" w:sz="0" w:space="0" w:color="auto"/>
        <w:right w:val="none" w:sz="0" w:space="0" w:color="auto"/>
      </w:divBdr>
    </w:div>
    <w:div w:id="1732266156">
      <w:bodyDiv w:val="1"/>
      <w:marLeft w:val="0"/>
      <w:marRight w:val="0"/>
      <w:marTop w:val="0"/>
      <w:marBottom w:val="0"/>
      <w:divBdr>
        <w:top w:val="none" w:sz="0" w:space="0" w:color="auto"/>
        <w:left w:val="none" w:sz="0" w:space="0" w:color="auto"/>
        <w:bottom w:val="none" w:sz="0" w:space="0" w:color="auto"/>
        <w:right w:val="none" w:sz="0" w:space="0" w:color="auto"/>
      </w:divBdr>
    </w:div>
    <w:div w:id="1737359733">
      <w:bodyDiv w:val="1"/>
      <w:marLeft w:val="0"/>
      <w:marRight w:val="0"/>
      <w:marTop w:val="0"/>
      <w:marBottom w:val="0"/>
      <w:divBdr>
        <w:top w:val="none" w:sz="0" w:space="0" w:color="auto"/>
        <w:left w:val="none" w:sz="0" w:space="0" w:color="auto"/>
        <w:bottom w:val="none" w:sz="0" w:space="0" w:color="auto"/>
        <w:right w:val="none" w:sz="0" w:space="0" w:color="auto"/>
      </w:divBdr>
    </w:div>
    <w:div w:id="1750495607">
      <w:bodyDiv w:val="1"/>
      <w:marLeft w:val="0"/>
      <w:marRight w:val="0"/>
      <w:marTop w:val="0"/>
      <w:marBottom w:val="0"/>
      <w:divBdr>
        <w:top w:val="none" w:sz="0" w:space="0" w:color="auto"/>
        <w:left w:val="none" w:sz="0" w:space="0" w:color="auto"/>
        <w:bottom w:val="none" w:sz="0" w:space="0" w:color="auto"/>
        <w:right w:val="none" w:sz="0" w:space="0" w:color="auto"/>
      </w:divBdr>
    </w:div>
    <w:div w:id="1788770899">
      <w:bodyDiv w:val="1"/>
      <w:marLeft w:val="0"/>
      <w:marRight w:val="0"/>
      <w:marTop w:val="0"/>
      <w:marBottom w:val="0"/>
      <w:divBdr>
        <w:top w:val="none" w:sz="0" w:space="0" w:color="auto"/>
        <w:left w:val="none" w:sz="0" w:space="0" w:color="auto"/>
        <w:bottom w:val="none" w:sz="0" w:space="0" w:color="auto"/>
        <w:right w:val="none" w:sz="0" w:space="0" w:color="auto"/>
      </w:divBdr>
    </w:div>
    <w:div w:id="1827167010">
      <w:bodyDiv w:val="1"/>
      <w:marLeft w:val="0"/>
      <w:marRight w:val="0"/>
      <w:marTop w:val="0"/>
      <w:marBottom w:val="0"/>
      <w:divBdr>
        <w:top w:val="none" w:sz="0" w:space="0" w:color="auto"/>
        <w:left w:val="none" w:sz="0" w:space="0" w:color="auto"/>
        <w:bottom w:val="none" w:sz="0" w:space="0" w:color="auto"/>
        <w:right w:val="none" w:sz="0" w:space="0" w:color="auto"/>
      </w:divBdr>
    </w:div>
    <w:div w:id="1858693084">
      <w:bodyDiv w:val="1"/>
      <w:marLeft w:val="0"/>
      <w:marRight w:val="0"/>
      <w:marTop w:val="0"/>
      <w:marBottom w:val="0"/>
      <w:divBdr>
        <w:top w:val="none" w:sz="0" w:space="0" w:color="auto"/>
        <w:left w:val="none" w:sz="0" w:space="0" w:color="auto"/>
        <w:bottom w:val="none" w:sz="0" w:space="0" w:color="auto"/>
        <w:right w:val="none" w:sz="0" w:space="0" w:color="auto"/>
      </w:divBdr>
    </w:div>
    <w:div w:id="1898084398">
      <w:bodyDiv w:val="1"/>
      <w:marLeft w:val="0"/>
      <w:marRight w:val="0"/>
      <w:marTop w:val="0"/>
      <w:marBottom w:val="0"/>
      <w:divBdr>
        <w:top w:val="none" w:sz="0" w:space="0" w:color="auto"/>
        <w:left w:val="none" w:sz="0" w:space="0" w:color="auto"/>
        <w:bottom w:val="none" w:sz="0" w:space="0" w:color="auto"/>
        <w:right w:val="none" w:sz="0" w:space="0" w:color="auto"/>
      </w:divBdr>
    </w:div>
    <w:div w:id="1914924854">
      <w:bodyDiv w:val="1"/>
      <w:marLeft w:val="0"/>
      <w:marRight w:val="0"/>
      <w:marTop w:val="0"/>
      <w:marBottom w:val="0"/>
      <w:divBdr>
        <w:top w:val="none" w:sz="0" w:space="0" w:color="auto"/>
        <w:left w:val="none" w:sz="0" w:space="0" w:color="auto"/>
        <w:bottom w:val="none" w:sz="0" w:space="0" w:color="auto"/>
        <w:right w:val="none" w:sz="0" w:space="0" w:color="auto"/>
      </w:divBdr>
    </w:div>
    <w:div w:id="1932817838">
      <w:bodyDiv w:val="1"/>
      <w:marLeft w:val="0"/>
      <w:marRight w:val="0"/>
      <w:marTop w:val="0"/>
      <w:marBottom w:val="0"/>
      <w:divBdr>
        <w:top w:val="none" w:sz="0" w:space="0" w:color="auto"/>
        <w:left w:val="none" w:sz="0" w:space="0" w:color="auto"/>
        <w:bottom w:val="none" w:sz="0" w:space="0" w:color="auto"/>
        <w:right w:val="none" w:sz="0" w:space="0" w:color="auto"/>
      </w:divBdr>
    </w:div>
    <w:div w:id="1942494828">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 w:id="1980571504">
      <w:bodyDiv w:val="1"/>
      <w:marLeft w:val="0"/>
      <w:marRight w:val="0"/>
      <w:marTop w:val="0"/>
      <w:marBottom w:val="0"/>
      <w:divBdr>
        <w:top w:val="none" w:sz="0" w:space="0" w:color="auto"/>
        <w:left w:val="none" w:sz="0" w:space="0" w:color="auto"/>
        <w:bottom w:val="none" w:sz="0" w:space="0" w:color="auto"/>
        <w:right w:val="none" w:sz="0" w:space="0" w:color="auto"/>
      </w:divBdr>
    </w:div>
    <w:div w:id="1990861068">
      <w:bodyDiv w:val="1"/>
      <w:marLeft w:val="0"/>
      <w:marRight w:val="0"/>
      <w:marTop w:val="0"/>
      <w:marBottom w:val="0"/>
      <w:divBdr>
        <w:top w:val="none" w:sz="0" w:space="0" w:color="auto"/>
        <w:left w:val="none" w:sz="0" w:space="0" w:color="auto"/>
        <w:bottom w:val="none" w:sz="0" w:space="0" w:color="auto"/>
        <w:right w:val="none" w:sz="0" w:space="0" w:color="auto"/>
      </w:divBdr>
    </w:div>
    <w:div w:id="1993830135">
      <w:bodyDiv w:val="1"/>
      <w:marLeft w:val="0"/>
      <w:marRight w:val="0"/>
      <w:marTop w:val="0"/>
      <w:marBottom w:val="0"/>
      <w:divBdr>
        <w:top w:val="none" w:sz="0" w:space="0" w:color="auto"/>
        <w:left w:val="none" w:sz="0" w:space="0" w:color="auto"/>
        <w:bottom w:val="none" w:sz="0" w:space="0" w:color="auto"/>
        <w:right w:val="none" w:sz="0" w:space="0" w:color="auto"/>
      </w:divBdr>
    </w:div>
    <w:div w:id="2037340681">
      <w:bodyDiv w:val="1"/>
      <w:marLeft w:val="0"/>
      <w:marRight w:val="0"/>
      <w:marTop w:val="0"/>
      <w:marBottom w:val="0"/>
      <w:divBdr>
        <w:top w:val="none" w:sz="0" w:space="0" w:color="auto"/>
        <w:left w:val="none" w:sz="0" w:space="0" w:color="auto"/>
        <w:bottom w:val="none" w:sz="0" w:space="0" w:color="auto"/>
        <w:right w:val="none" w:sz="0" w:space="0" w:color="auto"/>
      </w:divBdr>
    </w:div>
    <w:div w:id="2039231278">
      <w:bodyDiv w:val="1"/>
      <w:marLeft w:val="0"/>
      <w:marRight w:val="0"/>
      <w:marTop w:val="0"/>
      <w:marBottom w:val="0"/>
      <w:divBdr>
        <w:top w:val="none" w:sz="0" w:space="0" w:color="auto"/>
        <w:left w:val="none" w:sz="0" w:space="0" w:color="auto"/>
        <w:bottom w:val="none" w:sz="0" w:space="0" w:color="auto"/>
        <w:right w:val="none" w:sz="0" w:space="0" w:color="auto"/>
      </w:divBdr>
    </w:div>
    <w:div w:id="2096704710">
      <w:bodyDiv w:val="1"/>
      <w:marLeft w:val="0"/>
      <w:marRight w:val="0"/>
      <w:marTop w:val="0"/>
      <w:marBottom w:val="0"/>
      <w:divBdr>
        <w:top w:val="none" w:sz="0" w:space="0" w:color="auto"/>
        <w:left w:val="none" w:sz="0" w:space="0" w:color="auto"/>
        <w:bottom w:val="none" w:sz="0" w:space="0" w:color="auto"/>
        <w:right w:val="none" w:sz="0" w:space="0" w:color="auto"/>
      </w:divBdr>
    </w:div>
    <w:div w:id="209816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5B684C-F788-4DFF-967C-B2938BE54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5936</Words>
  <Characters>33838</Characters>
  <Application>Microsoft Office Word</Application>
  <DocSecurity>0</DocSecurity>
  <Lines>281</Lines>
  <Paragraphs>79</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39695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Thomas Borchers</dc:creator>
  <cp:lastModifiedBy>Sascha Klöpper</cp:lastModifiedBy>
  <cp:revision>4</cp:revision>
  <cp:lastPrinted>2019-03-01T08:39:00Z</cp:lastPrinted>
  <dcterms:created xsi:type="dcterms:W3CDTF">2019-03-04T07:36:00Z</dcterms:created>
  <dcterms:modified xsi:type="dcterms:W3CDTF">2019-03-04T08:29:00Z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http://www.zotero.org/styles/apa</vt:lpwstr>
  </property>
  <property fmtid="{D5CDD505-2E9C-101B-9397-08002B2CF9AE}" pid="8" name="Mendeley Recent Style Name 2_1">
    <vt:lpwstr>American Psychological Association 6th edition</vt:lpwstr>
  </property>
  <property fmtid="{D5CDD505-2E9C-101B-9397-08002B2CF9AE}" pid="9" name="Mendeley Recent Style Id 3_1">
    <vt:lpwstr>http://www.zotero.org/styles/american-sociological-association</vt:lpwstr>
  </property>
  <property fmtid="{D5CDD505-2E9C-101B-9397-08002B2CF9AE}" pid="10" name="Mendeley Recent Style Name 3_1">
    <vt:lpwstr>American Sociological Association</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17th edition (author-date)</vt:lpwstr>
  </property>
  <property fmtid="{D5CDD505-2E9C-101B-9397-08002B2CF9AE}" pid="13" name="Mendeley Recent Style Id 5_1">
    <vt:lpwstr>http://www.zotero.org/styles/harvard-cite-them-right</vt:lpwstr>
  </property>
  <property fmtid="{D5CDD505-2E9C-101B-9397-08002B2CF9AE}" pid="14" name="Mendeley Recent Style Name 5_1">
    <vt:lpwstr>Cite Them Right 10th edition - Harvard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8th edition</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ies>
</file>