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DC0E" w14:textId="77777777" w:rsidR="00067A49" w:rsidRPr="00884A64" w:rsidRDefault="00067A49" w:rsidP="00067A49">
      <w:pPr>
        <w:spacing w:line="360" w:lineRule="auto"/>
        <w:jc w:val="center"/>
        <w:rPr>
          <w:sz w:val="20"/>
          <w:szCs w:val="20"/>
          <w:lang w:val="en-GB"/>
        </w:rPr>
      </w:pPr>
      <w:r w:rsidRPr="00884A64">
        <w:rPr>
          <w:noProof/>
          <w:sz w:val="20"/>
          <w:szCs w:val="20"/>
          <w:lang w:val="de-DE" w:eastAsia="de-DE"/>
        </w:rPr>
        <mc:AlternateContent>
          <mc:Choice Requires="wps">
            <w:drawing>
              <wp:anchor distT="0" distB="0" distL="114300" distR="114300" simplePos="0" relativeHeight="251659264" behindDoc="0" locked="0" layoutInCell="1" allowOverlap="1" wp14:anchorId="38C0B353" wp14:editId="53AC470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 xml:space="preserve">Wadden </w:t>
                            </w:r>
                            <w:proofErr w:type="gramStart"/>
                            <w:r w:rsidRPr="00900B48">
                              <w:rPr>
                                <w:rFonts w:ascii="Arial" w:hAnsi="Arial" w:cs="Arial"/>
                                <w:bCs/>
                                <w:sz w:val="28"/>
                                <w:szCs w:val="32"/>
                                <w:lang w:val="en-GB"/>
                              </w:rPr>
                              <w:t>Sea Board</w:t>
                            </w:r>
                            <w:proofErr w:type="gramEnd"/>
                          </w:p>
                          <w:p w14:paraId="31F532E5" w14:textId="0C8F5285"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w:t>
                            </w:r>
                            <w:r w:rsidR="007F6DA6">
                              <w:rPr>
                                <w:rFonts w:ascii="Arial" w:hAnsi="Arial" w:cs="Arial"/>
                                <w:b/>
                                <w:bCs/>
                                <w:szCs w:val="32"/>
                                <w:lang w:val="en-GB"/>
                              </w:rPr>
                              <w:t>9</w:t>
                            </w:r>
                          </w:p>
                          <w:p w14:paraId="26AE4E70" w14:textId="01D7499D" w:rsidR="00067A49" w:rsidRPr="00884A64" w:rsidRDefault="00067A49" w:rsidP="00067A49">
                            <w:pPr>
                              <w:jc w:val="center"/>
                              <w:rPr>
                                <w:bCs/>
                                <w:sz w:val="22"/>
                                <w:lang w:val="en-GB"/>
                              </w:rPr>
                            </w:pPr>
                            <w:r>
                              <w:rPr>
                                <w:bCs/>
                                <w:sz w:val="22"/>
                                <w:lang w:val="en-GB"/>
                              </w:rPr>
                              <w:t>1</w:t>
                            </w:r>
                            <w:r w:rsidR="007F6DA6">
                              <w:rPr>
                                <w:bCs/>
                                <w:sz w:val="22"/>
                                <w:lang w:val="en-GB"/>
                              </w:rPr>
                              <w:t>9</w:t>
                            </w:r>
                            <w:r>
                              <w:rPr>
                                <w:bCs/>
                                <w:sz w:val="22"/>
                                <w:lang w:val="en-GB"/>
                              </w:rPr>
                              <w:t xml:space="preserve"> </w:t>
                            </w:r>
                            <w:r w:rsidR="007F6DA6">
                              <w:rPr>
                                <w:bCs/>
                                <w:sz w:val="22"/>
                                <w:lang w:val="en-GB"/>
                              </w:rPr>
                              <w:t>June</w:t>
                            </w:r>
                            <w:r w:rsidRPr="00884A64">
                              <w:rPr>
                                <w:bCs/>
                                <w:sz w:val="22"/>
                                <w:lang w:val="en-GB"/>
                              </w:rPr>
                              <w:t xml:space="preserve"> 201</w:t>
                            </w:r>
                            <w:r>
                              <w:rPr>
                                <w:bCs/>
                                <w:sz w:val="22"/>
                                <w:lang w:val="en-GB"/>
                              </w:rPr>
                              <w:t>9</w:t>
                            </w:r>
                          </w:p>
                          <w:p w14:paraId="0803F0F6" w14:textId="0B298705" w:rsidR="00067A49" w:rsidRPr="00884A64" w:rsidRDefault="007F6DA6" w:rsidP="00067A49">
                            <w:pPr>
                              <w:jc w:val="center"/>
                              <w:rPr>
                                <w:bCs/>
                                <w:sz w:val="22"/>
                                <w:lang w:val="en-GB"/>
                              </w:rPr>
                            </w:pPr>
                            <w:proofErr w:type="spellStart"/>
                            <w:r>
                              <w:rPr>
                                <w:bCs/>
                                <w:sz w:val="22"/>
                                <w:lang w:val="en-GB"/>
                              </w:rPr>
                              <w:t>Vlieland</w:t>
                            </w:r>
                            <w:proofErr w:type="spellEnd"/>
                            <w:r w:rsidR="00067A49" w:rsidRPr="00884A64">
                              <w:rPr>
                                <w:bCs/>
                                <w:sz w:val="22"/>
                                <w:lang w:val="en-GB"/>
                              </w:rPr>
                              <w:t xml:space="preserve">, </w:t>
                            </w:r>
                            <w:r>
                              <w:rPr>
                                <w:bCs/>
                                <w:sz w:val="22"/>
                                <w:lang w:val="en-GB"/>
                              </w:rPr>
                              <w:t>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0B353" id="_x0000_t202" coordsize="21600,21600" o:spt="202" path="m,l,21600r21600,l21600,xe">
                <v:stroke joinstyle="miter"/>
                <v:path gradientshapeok="t" o:connecttype="rect"/>
              </v:shapetype>
              <v:shape id="Text Box 2" o:spid="_x0000_s1026" type="#_x0000_t202" style="position:absolute;left:0;text-align:left;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1F532E5" w14:textId="0C8F5285"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w:t>
                      </w:r>
                      <w:r w:rsidR="007F6DA6">
                        <w:rPr>
                          <w:rFonts w:ascii="Arial" w:hAnsi="Arial" w:cs="Arial"/>
                          <w:b/>
                          <w:bCs/>
                          <w:szCs w:val="32"/>
                          <w:lang w:val="en-GB"/>
                        </w:rPr>
                        <w:t>9</w:t>
                      </w:r>
                    </w:p>
                    <w:p w14:paraId="26AE4E70" w14:textId="01D7499D" w:rsidR="00067A49" w:rsidRPr="00884A64" w:rsidRDefault="00067A49" w:rsidP="00067A49">
                      <w:pPr>
                        <w:jc w:val="center"/>
                        <w:rPr>
                          <w:bCs/>
                          <w:sz w:val="22"/>
                          <w:lang w:val="en-GB"/>
                        </w:rPr>
                      </w:pPr>
                      <w:r>
                        <w:rPr>
                          <w:bCs/>
                          <w:sz w:val="22"/>
                          <w:lang w:val="en-GB"/>
                        </w:rPr>
                        <w:t>1</w:t>
                      </w:r>
                      <w:r w:rsidR="007F6DA6">
                        <w:rPr>
                          <w:bCs/>
                          <w:sz w:val="22"/>
                          <w:lang w:val="en-GB"/>
                        </w:rPr>
                        <w:t>9</w:t>
                      </w:r>
                      <w:r>
                        <w:rPr>
                          <w:bCs/>
                          <w:sz w:val="22"/>
                          <w:lang w:val="en-GB"/>
                        </w:rPr>
                        <w:t xml:space="preserve"> </w:t>
                      </w:r>
                      <w:r w:rsidR="007F6DA6">
                        <w:rPr>
                          <w:bCs/>
                          <w:sz w:val="22"/>
                          <w:lang w:val="en-GB"/>
                        </w:rPr>
                        <w:t>June</w:t>
                      </w:r>
                      <w:r w:rsidRPr="00884A64">
                        <w:rPr>
                          <w:bCs/>
                          <w:sz w:val="22"/>
                          <w:lang w:val="en-GB"/>
                        </w:rPr>
                        <w:t xml:space="preserve"> 201</w:t>
                      </w:r>
                      <w:r>
                        <w:rPr>
                          <w:bCs/>
                          <w:sz w:val="22"/>
                          <w:lang w:val="en-GB"/>
                        </w:rPr>
                        <w:t>9</w:t>
                      </w:r>
                    </w:p>
                    <w:p w14:paraId="0803F0F6" w14:textId="0B298705" w:rsidR="00067A49" w:rsidRPr="00884A64" w:rsidRDefault="007F6DA6" w:rsidP="00067A49">
                      <w:pPr>
                        <w:jc w:val="center"/>
                        <w:rPr>
                          <w:bCs/>
                          <w:sz w:val="22"/>
                          <w:lang w:val="en-GB"/>
                        </w:rPr>
                      </w:pPr>
                      <w:proofErr w:type="spellStart"/>
                      <w:r>
                        <w:rPr>
                          <w:bCs/>
                          <w:sz w:val="22"/>
                          <w:lang w:val="en-GB"/>
                        </w:rPr>
                        <w:t>Vlieland</w:t>
                      </w:r>
                      <w:proofErr w:type="spellEnd"/>
                      <w:r w:rsidR="00067A49" w:rsidRPr="00884A64">
                        <w:rPr>
                          <w:bCs/>
                          <w:sz w:val="22"/>
                          <w:lang w:val="en-GB"/>
                        </w:rPr>
                        <w:t xml:space="preserve">, </w:t>
                      </w:r>
                      <w:r>
                        <w:rPr>
                          <w:bCs/>
                          <w:sz w:val="22"/>
                          <w:lang w:val="en-GB"/>
                        </w:rPr>
                        <w:t>Netherlands</w:t>
                      </w:r>
                    </w:p>
                  </w:txbxContent>
                </v:textbox>
              </v:shape>
            </w:pict>
          </mc:Fallback>
        </mc:AlternateContent>
      </w:r>
      <w:r w:rsidRPr="00884A64">
        <w:rPr>
          <w:noProof/>
          <w:sz w:val="20"/>
          <w:szCs w:val="20"/>
          <w:lang w:val="de-DE" w:eastAsia="de-DE"/>
        </w:rPr>
        <w:drawing>
          <wp:anchor distT="0" distB="0" distL="114300" distR="114300" simplePos="0" relativeHeight="251660288" behindDoc="1" locked="0" layoutInCell="1" allowOverlap="1" wp14:anchorId="132DA326" wp14:editId="58D8A6D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5C9CBDBB" w14:textId="77777777" w:rsidR="00067A49" w:rsidRPr="00884A64" w:rsidRDefault="00067A49" w:rsidP="00067A49">
      <w:pPr>
        <w:jc w:val="center"/>
        <w:rPr>
          <w:b/>
          <w:bCs/>
          <w:sz w:val="20"/>
          <w:szCs w:val="20"/>
          <w:lang w:val="en-GB"/>
        </w:rPr>
      </w:pPr>
      <w:r w:rsidRPr="00884A64">
        <w:rPr>
          <w:b/>
          <w:bCs/>
          <w:sz w:val="20"/>
          <w:szCs w:val="20"/>
          <w:lang w:val="en-GB"/>
        </w:rPr>
        <w:t xml:space="preserve"> </w:t>
      </w:r>
    </w:p>
    <w:p w14:paraId="04279511" w14:textId="77777777" w:rsidR="00067A49" w:rsidRPr="00884A64" w:rsidRDefault="00067A49" w:rsidP="00067A49">
      <w:pPr>
        <w:rPr>
          <w:sz w:val="20"/>
          <w:szCs w:val="20"/>
          <w:lang w:val="en-GB"/>
        </w:rPr>
      </w:pPr>
    </w:p>
    <w:p w14:paraId="7D8E5063" w14:textId="77777777" w:rsidR="00067A49" w:rsidRPr="00884A64" w:rsidRDefault="00067A49" w:rsidP="00067A49">
      <w:pPr>
        <w:jc w:val="center"/>
        <w:rPr>
          <w:b/>
          <w:bCs/>
          <w:sz w:val="20"/>
          <w:szCs w:val="20"/>
          <w:lang w:val="en-GB"/>
        </w:rPr>
      </w:pPr>
    </w:p>
    <w:p w14:paraId="57AEF467" w14:textId="77777777" w:rsidR="00067A49" w:rsidRPr="00884A64" w:rsidRDefault="00067A49" w:rsidP="00067A49">
      <w:pPr>
        <w:spacing w:after="120" w:line="276" w:lineRule="auto"/>
        <w:rPr>
          <w:sz w:val="20"/>
          <w:szCs w:val="20"/>
          <w:lang w:val="en-GB"/>
        </w:rPr>
      </w:pPr>
    </w:p>
    <w:p w14:paraId="6DE2F8CB" w14:textId="77777777" w:rsidR="00067A49" w:rsidRPr="00884A64" w:rsidRDefault="00067A49" w:rsidP="00067A49">
      <w:pPr>
        <w:spacing w:after="120" w:line="276" w:lineRule="auto"/>
        <w:jc w:val="center"/>
        <w:rPr>
          <w:sz w:val="20"/>
          <w:szCs w:val="20"/>
          <w:lang w:val="en-GB"/>
        </w:rPr>
      </w:pPr>
    </w:p>
    <w:p w14:paraId="376F7ABC" w14:textId="77777777" w:rsidR="00067A49" w:rsidRDefault="00067A49" w:rsidP="00067A49">
      <w:pPr>
        <w:pBdr>
          <w:bottom w:val="single" w:sz="6" w:space="1" w:color="auto"/>
        </w:pBdr>
        <w:spacing w:after="120" w:line="276" w:lineRule="auto"/>
        <w:rPr>
          <w:sz w:val="20"/>
          <w:szCs w:val="20"/>
          <w:lang w:val="en-GB"/>
        </w:rPr>
      </w:pPr>
    </w:p>
    <w:p w14:paraId="4AC442DB" w14:textId="77777777" w:rsidR="00067A49" w:rsidRPr="00884A64" w:rsidRDefault="00067A49" w:rsidP="00067A49">
      <w:pPr>
        <w:pBdr>
          <w:bottom w:val="single" w:sz="6" w:space="1" w:color="auto"/>
        </w:pBdr>
        <w:spacing w:after="120" w:line="276" w:lineRule="auto"/>
        <w:rPr>
          <w:sz w:val="20"/>
          <w:szCs w:val="20"/>
          <w:lang w:val="en-GB"/>
        </w:rPr>
      </w:pPr>
    </w:p>
    <w:p w14:paraId="6645AD1D" w14:textId="7777777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Agenda Item:</w:t>
      </w:r>
      <w:r w:rsidRPr="00882BE6">
        <w:rPr>
          <w:b/>
          <w:sz w:val="22"/>
          <w:szCs w:val="22"/>
          <w:lang w:val="en-GB"/>
        </w:rPr>
        <w:tab/>
      </w:r>
      <w:r w:rsidRPr="00882BE6">
        <w:rPr>
          <w:b/>
          <w:sz w:val="22"/>
          <w:szCs w:val="22"/>
        </w:rPr>
        <w:t>5.2 Nature conservation and integrated ecosystem management</w:t>
      </w:r>
    </w:p>
    <w:p w14:paraId="1A0F1E69" w14:textId="04556F8E"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Subject:</w:t>
      </w:r>
      <w:r w:rsidRPr="00882BE6">
        <w:rPr>
          <w:b/>
          <w:sz w:val="22"/>
          <w:szCs w:val="22"/>
          <w:lang w:val="en-GB"/>
        </w:rPr>
        <w:tab/>
        <w:t>Report TG-M</w:t>
      </w:r>
    </w:p>
    <w:p w14:paraId="510E52B3" w14:textId="4B26BF34"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Document No.:</w:t>
      </w:r>
      <w:r w:rsidRPr="00882BE6">
        <w:rPr>
          <w:b/>
          <w:sz w:val="22"/>
          <w:szCs w:val="22"/>
          <w:lang w:val="en-GB"/>
        </w:rPr>
        <w:tab/>
        <w:t>WSB 2</w:t>
      </w:r>
      <w:r w:rsidR="00A800C3">
        <w:rPr>
          <w:b/>
          <w:sz w:val="22"/>
          <w:szCs w:val="22"/>
          <w:lang w:val="en-GB"/>
        </w:rPr>
        <w:t>9</w:t>
      </w:r>
      <w:r w:rsidRPr="00882BE6">
        <w:rPr>
          <w:b/>
          <w:sz w:val="22"/>
          <w:szCs w:val="22"/>
          <w:lang w:val="en-GB"/>
        </w:rPr>
        <w:t>/5.2/1</w:t>
      </w:r>
    </w:p>
    <w:p w14:paraId="2D876B7B" w14:textId="02A33552"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Date:</w:t>
      </w:r>
      <w:r w:rsidRPr="00882BE6">
        <w:rPr>
          <w:b/>
          <w:sz w:val="22"/>
          <w:szCs w:val="22"/>
          <w:lang w:val="en-GB"/>
        </w:rPr>
        <w:tab/>
      </w:r>
      <w:r w:rsidR="00E32536">
        <w:rPr>
          <w:b/>
          <w:sz w:val="22"/>
          <w:szCs w:val="22"/>
          <w:lang w:val="en-GB"/>
        </w:rPr>
        <w:t>1</w:t>
      </w:r>
      <w:r w:rsidR="00EB1C73">
        <w:rPr>
          <w:b/>
          <w:sz w:val="22"/>
          <w:szCs w:val="22"/>
          <w:lang w:val="en-GB"/>
        </w:rPr>
        <w:t>3</w:t>
      </w:r>
      <w:r w:rsidRPr="00882BE6">
        <w:rPr>
          <w:b/>
          <w:sz w:val="22"/>
          <w:szCs w:val="22"/>
          <w:lang w:val="en-GB"/>
        </w:rPr>
        <w:t xml:space="preserve"> </w:t>
      </w:r>
      <w:r w:rsidR="00A800C3">
        <w:rPr>
          <w:b/>
          <w:sz w:val="22"/>
          <w:szCs w:val="22"/>
          <w:lang w:val="en-GB"/>
        </w:rPr>
        <w:t>June</w:t>
      </w:r>
      <w:r w:rsidRPr="00882BE6">
        <w:rPr>
          <w:b/>
          <w:sz w:val="22"/>
          <w:szCs w:val="22"/>
          <w:lang w:val="en-GB"/>
        </w:rPr>
        <w:t xml:space="preserve"> </w:t>
      </w:r>
      <w:r>
        <w:rPr>
          <w:b/>
          <w:sz w:val="22"/>
          <w:szCs w:val="22"/>
          <w:lang w:val="en-GB"/>
        </w:rPr>
        <w:t>19</w:t>
      </w:r>
    </w:p>
    <w:p w14:paraId="3F3307FA" w14:textId="12AE4EFC" w:rsidR="00067A49" w:rsidRPr="00882BE6" w:rsidRDefault="00067A49" w:rsidP="00067A49">
      <w:pPr>
        <w:pBdr>
          <w:bottom w:val="single" w:sz="6" w:space="1" w:color="auto"/>
        </w:pBdr>
        <w:tabs>
          <w:tab w:val="left" w:pos="0"/>
        </w:tabs>
        <w:spacing w:after="120" w:line="276" w:lineRule="auto"/>
        <w:rPr>
          <w:b/>
          <w:sz w:val="22"/>
          <w:szCs w:val="22"/>
          <w:lang w:val="en-GB"/>
        </w:rPr>
      </w:pPr>
      <w:r w:rsidRPr="00882BE6">
        <w:rPr>
          <w:b/>
          <w:sz w:val="22"/>
          <w:szCs w:val="22"/>
          <w:lang w:val="en-GB"/>
        </w:rPr>
        <w:t xml:space="preserve">Submitted </w:t>
      </w:r>
      <w:proofErr w:type="gramStart"/>
      <w:r w:rsidRPr="00882BE6">
        <w:rPr>
          <w:b/>
          <w:sz w:val="22"/>
          <w:szCs w:val="22"/>
          <w:lang w:val="en-GB"/>
        </w:rPr>
        <w:t>by:</w:t>
      </w:r>
      <w:proofErr w:type="gramEnd"/>
      <w:r w:rsidRPr="00882BE6">
        <w:rPr>
          <w:b/>
          <w:sz w:val="22"/>
          <w:szCs w:val="22"/>
          <w:lang w:val="en-GB"/>
        </w:rPr>
        <w:tab/>
      </w:r>
      <w:r w:rsidRPr="00882BE6">
        <w:rPr>
          <w:b/>
          <w:sz w:val="22"/>
          <w:szCs w:val="22"/>
          <w:lang w:val="en-GB"/>
        </w:rPr>
        <w:tab/>
        <w:t>TG-M</w:t>
      </w:r>
    </w:p>
    <w:p w14:paraId="23C5E7CD" w14:textId="77777777" w:rsidR="00067A49" w:rsidRDefault="00067A49" w:rsidP="00067A49">
      <w:pPr>
        <w:pStyle w:val="Kopfzeile"/>
        <w:tabs>
          <w:tab w:val="clear" w:pos="4703"/>
          <w:tab w:val="clear" w:pos="9406"/>
        </w:tabs>
        <w:spacing w:after="120" w:line="276" w:lineRule="auto"/>
        <w:rPr>
          <w:sz w:val="22"/>
          <w:szCs w:val="22"/>
          <w:lang w:val="en-GB" w:eastAsia="de-DE"/>
        </w:rPr>
      </w:pPr>
    </w:p>
    <w:p w14:paraId="7A5A5F1D" w14:textId="157F475B" w:rsidR="00067A49" w:rsidRDefault="00067A49" w:rsidP="00067A49">
      <w:pPr>
        <w:pStyle w:val="Kopfzeile"/>
        <w:spacing w:after="120" w:line="276" w:lineRule="auto"/>
        <w:rPr>
          <w:sz w:val="22"/>
          <w:szCs w:val="22"/>
        </w:rPr>
      </w:pPr>
      <w:r w:rsidRPr="005D492B">
        <w:rPr>
          <w:sz w:val="22"/>
          <w:szCs w:val="22"/>
          <w:lang w:val="en-GB" w:eastAsia="de-DE"/>
        </w:rPr>
        <w:t xml:space="preserve">Attached is a progress report </w:t>
      </w:r>
      <w:r>
        <w:rPr>
          <w:sz w:val="22"/>
          <w:szCs w:val="22"/>
          <w:lang w:val="en-GB" w:eastAsia="de-DE"/>
        </w:rPr>
        <w:t>of</w:t>
      </w:r>
      <w:r w:rsidRPr="005D492B">
        <w:rPr>
          <w:sz w:val="22"/>
          <w:szCs w:val="22"/>
          <w:lang w:val="en-GB" w:eastAsia="de-DE"/>
        </w:rPr>
        <w:t xml:space="preserve"> </w:t>
      </w:r>
      <w:bookmarkStart w:id="0" w:name="_GoBack"/>
      <w:bookmarkEnd w:id="0"/>
      <w:r w:rsidRPr="005D492B">
        <w:rPr>
          <w:sz w:val="22"/>
          <w:szCs w:val="22"/>
          <w:lang w:val="en-GB" w:eastAsia="de-DE"/>
        </w:rPr>
        <w:t>the</w:t>
      </w:r>
      <w:r w:rsidR="00266931">
        <w:rPr>
          <w:sz w:val="22"/>
          <w:szCs w:val="22"/>
          <w:lang w:val="en-GB" w:eastAsia="de-DE"/>
        </w:rPr>
        <w:t xml:space="preserve"> first meeting of the newly installed</w:t>
      </w:r>
      <w:r w:rsidRPr="005D492B">
        <w:rPr>
          <w:sz w:val="22"/>
          <w:szCs w:val="22"/>
          <w:lang w:val="en-GB" w:eastAsia="de-DE"/>
        </w:rPr>
        <w:t xml:space="preserve"> Task Group Management (TG-M)</w:t>
      </w:r>
      <w:r>
        <w:rPr>
          <w:sz w:val="22"/>
          <w:szCs w:val="22"/>
          <w:lang w:val="en-GB" w:eastAsia="de-DE"/>
        </w:rPr>
        <w:t>.</w:t>
      </w:r>
      <w:r w:rsidRPr="005D492B">
        <w:rPr>
          <w:sz w:val="22"/>
          <w:szCs w:val="22"/>
          <w:lang w:val="en-GB" w:eastAsia="de-DE"/>
        </w:rPr>
        <w:t xml:space="preserve"> </w:t>
      </w:r>
      <w:r w:rsidRPr="005D492B">
        <w:rPr>
          <w:sz w:val="22"/>
          <w:szCs w:val="22"/>
        </w:rPr>
        <w:t>TG-M</w:t>
      </w:r>
      <w:r>
        <w:rPr>
          <w:sz w:val="22"/>
          <w:szCs w:val="22"/>
        </w:rPr>
        <w:t xml:space="preserve"> </w:t>
      </w:r>
      <w:r w:rsidR="00A800C3">
        <w:rPr>
          <w:sz w:val="22"/>
          <w:szCs w:val="22"/>
        </w:rPr>
        <w:t>19-1</w:t>
      </w:r>
      <w:r>
        <w:rPr>
          <w:sz w:val="22"/>
          <w:szCs w:val="22"/>
        </w:rPr>
        <w:t xml:space="preserve"> was held on </w:t>
      </w:r>
      <w:r w:rsidR="00A800C3">
        <w:rPr>
          <w:sz w:val="22"/>
          <w:szCs w:val="22"/>
        </w:rPr>
        <w:t>23</w:t>
      </w:r>
      <w:r>
        <w:rPr>
          <w:sz w:val="22"/>
          <w:szCs w:val="22"/>
        </w:rPr>
        <w:t>-</w:t>
      </w:r>
      <w:r w:rsidR="00A800C3">
        <w:rPr>
          <w:sz w:val="22"/>
          <w:szCs w:val="22"/>
        </w:rPr>
        <w:t>24</w:t>
      </w:r>
      <w:r>
        <w:rPr>
          <w:sz w:val="22"/>
          <w:szCs w:val="22"/>
        </w:rPr>
        <w:t xml:space="preserve"> </w:t>
      </w:r>
      <w:r w:rsidR="00266931">
        <w:rPr>
          <w:sz w:val="22"/>
          <w:szCs w:val="22"/>
        </w:rPr>
        <w:t>April</w:t>
      </w:r>
      <w:r>
        <w:rPr>
          <w:sz w:val="22"/>
          <w:szCs w:val="22"/>
        </w:rPr>
        <w:t xml:space="preserve"> 2019 in </w:t>
      </w:r>
      <w:r w:rsidR="00A800C3">
        <w:rPr>
          <w:sz w:val="22"/>
          <w:szCs w:val="22"/>
        </w:rPr>
        <w:t>Bremen</w:t>
      </w:r>
      <w:r w:rsidR="00C408CF">
        <w:rPr>
          <w:sz w:val="22"/>
          <w:szCs w:val="22"/>
        </w:rPr>
        <w:t>, Germany</w:t>
      </w:r>
      <w:r>
        <w:rPr>
          <w:sz w:val="22"/>
          <w:szCs w:val="22"/>
        </w:rPr>
        <w:t xml:space="preserve">. </w:t>
      </w:r>
    </w:p>
    <w:p w14:paraId="2B3C4ED3" w14:textId="77777777" w:rsidR="00067A49" w:rsidRPr="00AD62E7" w:rsidRDefault="00067A49" w:rsidP="00067A49">
      <w:pPr>
        <w:spacing w:after="120" w:line="276" w:lineRule="auto"/>
        <w:rPr>
          <w:sz w:val="22"/>
          <w:szCs w:val="22"/>
        </w:rPr>
      </w:pPr>
    </w:p>
    <w:p w14:paraId="43A8CC65" w14:textId="77777777" w:rsidR="00067A49" w:rsidRPr="00884A64" w:rsidRDefault="00067A49" w:rsidP="00067A49">
      <w:pPr>
        <w:spacing w:after="120" w:line="276" w:lineRule="auto"/>
        <w:ind w:left="1440" w:hanging="1440"/>
        <w:rPr>
          <w:sz w:val="22"/>
          <w:szCs w:val="22"/>
          <w:lang w:val="en-GB"/>
        </w:rPr>
      </w:pPr>
      <w:r w:rsidRPr="00884A64">
        <w:rPr>
          <w:b/>
          <w:bCs/>
          <w:sz w:val="22"/>
          <w:szCs w:val="22"/>
          <w:lang w:val="en-GB"/>
        </w:rPr>
        <w:t>Proposal:</w:t>
      </w:r>
      <w:r w:rsidRPr="00884A64">
        <w:rPr>
          <w:b/>
          <w:bCs/>
          <w:sz w:val="22"/>
          <w:szCs w:val="22"/>
          <w:lang w:val="en-GB"/>
        </w:rPr>
        <w:tab/>
      </w:r>
      <w:r w:rsidRPr="00F566FD">
        <w:rPr>
          <w:b/>
          <w:sz w:val="22"/>
          <w:szCs w:val="22"/>
          <w:lang w:val="en-GB"/>
        </w:rPr>
        <w:t>The WSB is invited to note the information and is invited to endorse the updated proposals where necessary.</w:t>
      </w:r>
    </w:p>
    <w:p w14:paraId="3DB60D11" w14:textId="77777777" w:rsidR="00067A49" w:rsidRPr="00884A64" w:rsidRDefault="00067A49" w:rsidP="00067A49">
      <w:pPr>
        <w:pStyle w:val="Textkrper"/>
        <w:spacing w:after="120" w:line="276" w:lineRule="auto"/>
        <w:rPr>
          <w:rFonts w:ascii="Times New Roman" w:hAnsi="Times New Roman" w:cs="Times New Roman"/>
          <w:sz w:val="22"/>
          <w:szCs w:val="22"/>
          <w:lang w:val="en-GB"/>
        </w:rPr>
      </w:pPr>
    </w:p>
    <w:p w14:paraId="0C201EDE" w14:textId="636B88D8" w:rsidR="00067A49" w:rsidRDefault="00067A49" w:rsidP="00067A49">
      <w:pPr>
        <w:spacing w:after="120" w:line="276" w:lineRule="auto"/>
        <w:jc w:val="center"/>
        <w:rPr>
          <w:sz w:val="22"/>
          <w:szCs w:val="22"/>
          <w:lang w:val="en-GB"/>
        </w:rPr>
      </w:pPr>
    </w:p>
    <w:p w14:paraId="2F6DBD15" w14:textId="1FFB96B6" w:rsidR="00266931" w:rsidRDefault="00266931" w:rsidP="00067A49">
      <w:pPr>
        <w:spacing w:after="120" w:line="276" w:lineRule="auto"/>
        <w:jc w:val="center"/>
        <w:rPr>
          <w:sz w:val="22"/>
          <w:szCs w:val="22"/>
          <w:lang w:val="en-GB"/>
        </w:rPr>
      </w:pPr>
    </w:p>
    <w:p w14:paraId="11D193EB" w14:textId="30246302" w:rsidR="00266931" w:rsidRDefault="00266931" w:rsidP="00067A49">
      <w:pPr>
        <w:spacing w:after="120" w:line="276" w:lineRule="auto"/>
        <w:jc w:val="center"/>
        <w:rPr>
          <w:sz w:val="22"/>
          <w:szCs w:val="22"/>
          <w:lang w:val="en-GB"/>
        </w:rPr>
      </w:pPr>
    </w:p>
    <w:p w14:paraId="7EF705E2" w14:textId="65A9BE36" w:rsidR="00266931" w:rsidRDefault="00266931" w:rsidP="00067A49">
      <w:pPr>
        <w:spacing w:after="120" w:line="276" w:lineRule="auto"/>
        <w:jc w:val="center"/>
        <w:rPr>
          <w:sz w:val="22"/>
          <w:szCs w:val="22"/>
          <w:lang w:val="en-GB"/>
        </w:rPr>
      </w:pPr>
    </w:p>
    <w:p w14:paraId="3BF31B6C" w14:textId="77777777" w:rsidR="00266931" w:rsidRPr="00884A64" w:rsidRDefault="00266931" w:rsidP="00067A49">
      <w:pPr>
        <w:spacing w:after="120" w:line="276" w:lineRule="auto"/>
        <w:jc w:val="center"/>
        <w:rPr>
          <w:sz w:val="22"/>
          <w:szCs w:val="22"/>
          <w:lang w:val="en-GB"/>
        </w:rPr>
      </w:pPr>
    </w:p>
    <w:p w14:paraId="474CEE62" w14:textId="77777777" w:rsidR="00067A49" w:rsidRPr="00884A64" w:rsidRDefault="00067A49" w:rsidP="00067A49">
      <w:pPr>
        <w:spacing w:after="120" w:line="276" w:lineRule="auto"/>
        <w:jc w:val="center"/>
        <w:rPr>
          <w:sz w:val="22"/>
          <w:szCs w:val="22"/>
          <w:lang w:val="en-GB"/>
        </w:rPr>
      </w:pPr>
    </w:p>
    <w:p w14:paraId="6D62073B" w14:textId="77777777" w:rsidR="00067A49" w:rsidRPr="00067A49" w:rsidRDefault="00067A49" w:rsidP="00067A49">
      <w:pPr>
        <w:rPr>
          <w:lang w:val="en-GB"/>
        </w:rPr>
      </w:pPr>
    </w:p>
    <w:p w14:paraId="64BC5645" w14:textId="77777777" w:rsidR="00067A49" w:rsidRDefault="00067A49" w:rsidP="00067A49">
      <w:r>
        <w:t xml:space="preserve"> </w:t>
      </w:r>
    </w:p>
    <w:p w14:paraId="28468E61" w14:textId="77777777" w:rsidR="00067A49" w:rsidRDefault="00067A49" w:rsidP="00067A49"/>
    <w:p w14:paraId="35D0D5A3" w14:textId="77777777" w:rsidR="00067A49" w:rsidRDefault="00067A49" w:rsidP="00067A49"/>
    <w:p w14:paraId="27A0A31C" w14:textId="77777777" w:rsidR="00067A49" w:rsidRDefault="00067A49" w:rsidP="00067A49"/>
    <w:p w14:paraId="589E3B4B" w14:textId="77777777" w:rsidR="00067A49" w:rsidRDefault="00067A49" w:rsidP="00067A49"/>
    <w:p w14:paraId="49558915" w14:textId="77777777" w:rsidR="00067A49" w:rsidRDefault="00067A49" w:rsidP="00067A49"/>
    <w:p w14:paraId="7178C67D" w14:textId="77777777" w:rsidR="00067A49" w:rsidRDefault="00067A49" w:rsidP="00067A49"/>
    <w:p w14:paraId="41639DC6" w14:textId="77777777" w:rsidR="00067A49" w:rsidRDefault="00067A49" w:rsidP="00067A49"/>
    <w:p w14:paraId="25A89238" w14:textId="77777777" w:rsidR="00067A49" w:rsidRDefault="00067A49" w:rsidP="00067A49"/>
    <w:p w14:paraId="4EFE274A" w14:textId="77777777" w:rsidR="00067A49" w:rsidRDefault="00067A49" w:rsidP="00067A49"/>
    <w:p w14:paraId="07361D86" w14:textId="77777777" w:rsidR="00067A49" w:rsidRDefault="00067A49" w:rsidP="00067A49"/>
    <w:p w14:paraId="421756C6" w14:textId="77777777" w:rsidR="00067A49" w:rsidRDefault="00067A49" w:rsidP="00067A49"/>
    <w:p w14:paraId="478CC1B9" w14:textId="77777777" w:rsidR="004964B1" w:rsidRDefault="00067A49" w:rsidP="004964B1">
      <w:r>
        <w:tab/>
      </w:r>
    </w:p>
    <w:p w14:paraId="135C9098" w14:textId="3CA2AB27" w:rsidR="00067A49" w:rsidRPr="004964B1" w:rsidRDefault="00067A49" w:rsidP="004964B1">
      <w:r w:rsidRPr="00067A49">
        <w:rPr>
          <w:rFonts w:ascii="Arial" w:hAnsi="Arial" w:cs="Arial"/>
          <w:sz w:val="28"/>
          <w:szCs w:val="28"/>
        </w:rPr>
        <w:lastRenderedPageBreak/>
        <w:t xml:space="preserve">Task Group Management (TG-M) progress report </w:t>
      </w:r>
      <w:r w:rsidR="00266931">
        <w:rPr>
          <w:rFonts w:ascii="Arial" w:hAnsi="Arial" w:cs="Arial"/>
          <w:sz w:val="28"/>
          <w:szCs w:val="28"/>
        </w:rPr>
        <w:t>to WSB</w:t>
      </w:r>
      <w:r w:rsidRPr="00067A49">
        <w:rPr>
          <w:rFonts w:ascii="Arial" w:hAnsi="Arial" w:cs="Arial"/>
          <w:sz w:val="28"/>
          <w:szCs w:val="28"/>
        </w:rPr>
        <w:t xml:space="preserve"> </w:t>
      </w:r>
      <w:r w:rsidR="00266931">
        <w:rPr>
          <w:rFonts w:ascii="Arial" w:hAnsi="Arial" w:cs="Arial"/>
          <w:sz w:val="28"/>
          <w:szCs w:val="28"/>
        </w:rPr>
        <w:t>29</w:t>
      </w:r>
    </w:p>
    <w:p w14:paraId="6123C107" w14:textId="5E042ADB" w:rsidR="00067A49" w:rsidRPr="00DF7318" w:rsidRDefault="00067A49" w:rsidP="00DF7318">
      <w:pPr>
        <w:spacing w:after="200" w:line="276" w:lineRule="auto"/>
        <w:ind w:hanging="11"/>
        <w:contextualSpacing/>
        <w:rPr>
          <w:rFonts w:eastAsia="Calibri"/>
          <w:sz w:val="22"/>
          <w:szCs w:val="22"/>
          <w:lang w:val="en-GB"/>
        </w:rPr>
      </w:pPr>
      <w:r w:rsidRPr="00DF7318">
        <w:rPr>
          <w:rFonts w:eastAsia="Calibri"/>
          <w:sz w:val="22"/>
          <w:szCs w:val="22"/>
          <w:lang w:val="en-GB"/>
        </w:rPr>
        <w:t>Since WSB-2</w:t>
      </w:r>
      <w:r w:rsidR="00A800C3" w:rsidRPr="00DF7318">
        <w:rPr>
          <w:rFonts w:eastAsia="Calibri"/>
          <w:sz w:val="22"/>
          <w:szCs w:val="22"/>
          <w:lang w:val="en-GB"/>
        </w:rPr>
        <w:t>8</w:t>
      </w:r>
      <w:r w:rsidRPr="00DF7318">
        <w:rPr>
          <w:rFonts w:eastAsia="Calibri"/>
          <w:sz w:val="22"/>
          <w:szCs w:val="22"/>
          <w:lang w:val="en-GB"/>
        </w:rPr>
        <w:t xml:space="preserve"> the TG-M has progressed on the following specific items:</w:t>
      </w:r>
    </w:p>
    <w:p w14:paraId="33B11105" w14:textId="0A045FD0" w:rsidR="00067A49" w:rsidRPr="00DF7318" w:rsidRDefault="00067A49" w:rsidP="00DF7318">
      <w:pPr>
        <w:spacing w:line="276" w:lineRule="auto"/>
        <w:rPr>
          <w:sz w:val="22"/>
          <w:szCs w:val="22"/>
        </w:rPr>
      </w:pPr>
    </w:p>
    <w:p w14:paraId="64DC6E79" w14:textId="77777777" w:rsidR="007F6DA6" w:rsidRPr="00DF7318" w:rsidRDefault="007F6DA6" w:rsidP="00DF7318">
      <w:pPr>
        <w:spacing w:line="276" w:lineRule="auto"/>
        <w:rPr>
          <w:sz w:val="22"/>
          <w:szCs w:val="22"/>
        </w:rPr>
      </w:pPr>
    </w:p>
    <w:p w14:paraId="2AE6C0BD" w14:textId="60ED0C1E" w:rsidR="00067A49" w:rsidRPr="00DF7318" w:rsidRDefault="00067A49" w:rsidP="00DF7318">
      <w:pPr>
        <w:spacing w:after="240" w:line="276" w:lineRule="auto"/>
        <w:rPr>
          <w:rFonts w:ascii="Arial" w:hAnsi="Arial" w:cs="Arial"/>
          <w:b/>
          <w:sz w:val="22"/>
          <w:szCs w:val="22"/>
          <w:lang w:val="en-GB"/>
        </w:rPr>
      </w:pPr>
      <w:r w:rsidRPr="00DF7318">
        <w:rPr>
          <w:rFonts w:ascii="Arial" w:hAnsi="Arial" w:cs="Arial"/>
          <w:b/>
          <w:sz w:val="22"/>
          <w:szCs w:val="22"/>
          <w:lang w:val="en-GB"/>
        </w:rPr>
        <w:t>TWSC review process and implications for TG-M</w:t>
      </w:r>
    </w:p>
    <w:p w14:paraId="0A278D55" w14:textId="4783E52C" w:rsidR="00C408CF" w:rsidRPr="00DF7318" w:rsidRDefault="00A800C3" w:rsidP="00DF7318">
      <w:pPr>
        <w:spacing w:line="276" w:lineRule="auto"/>
        <w:rPr>
          <w:sz w:val="22"/>
          <w:szCs w:val="22"/>
        </w:rPr>
      </w:pPr>
      <w:r w:rsidRPr="00DF7318">
        <w:rPr>
          <w:sz w:val="22"/>
          <w:szCs w:val="22"/>
        </w:rPr>
        <w:t>TG-M took note of</w:t>
      </w:r>
      <w:r w:rsidR="00F37508">
        <w:rPr>
          <w:sz w:val="22"/>
          <w:szCs w:val="22"/>
        </w:rPr>
        <w:t xml:space="preserve"> its</w:t>
      </w:r>
      <w:r w:rsidRPr="00DF7318">
        <w:rPr>
          <w:sz w:val="22"/>
          <w:szCs w:val="22"/>
        </w:rPr>
        <w:t xml:space="preserve"> </w:t>
      </w:r>
      <w:r w:rsidR="00006743">
        <w:rPr>
          <w:sz w:val="22"/>
          <w:szCs w:val="22"/>
        </w:rPr>
        <w:t xml:space="preserve">new </w:t>
      </w:r>
      <w:r w:rsidRPr="00DF7318">
        <w:rPr>
          <w:sz w:val="22"/>
          <w:szCs w:val="22"/>
        </w:rPr>
        <w:t xml:space="preserve">ToR resulting from the TWSC review process. Furthermore, the group explored the relevant United Nations Sustainable Development Goals (SDGs) </w:t>
      </w:r>
      <w:r w:rsidR="00006743">
        <w:rPr>
          <w:sz w:val="22"/>
          <w:szCs w:val="22"/>
        </w:rPr>
        <w:t xml:space="preserve">at target level, </w:t>
      </w:r>
      <w:r w:rsidRPr="00DF7318">
        <w:rPr>
          <w:sz w:val="22"/>
          <w:szCs w:val="22"/>
        </w:rPr>
        <w:t xml:space="preserve">which </w:t>
      </w:r>
      <w:r w:rsidR="00AA0524">
        <w:rPr>
          <w:sz w:val="22"/>
          <w:szCs w:val="22"/>
        </w:rPr>
        <w:t>will be</w:t>
      </w:r>
      <w:r w:rsidR="00AA0524" w:rsidRPr="00DF7318">
        <w:rPr>
          <w:sz w:val="22"/>
          <w:szCs w:val="22"/>
        </w:rPr>
        <w:t xml:space="preserve"> </w:t>
      </w:r>
      <w:r w:rsidRPr="00DF7318">
        <w:rPr>
          <w:sz w:val="22"/>
          <w:szCs w:val="22"/>
        </w:rPr>
        <w:t>assembled for all trilateral groups</w:t>
      </w:r>
      <w:r w:rsidR="00AA0524">
        <w:rPr>
          <w:sz w:val="22"/>
          <w:szCs w:val="22"/>
        </w:rPr>
        <w:t xml:space="preserve"> by CWSS as a separate document</w:t>
      </w:r>
      <w:r w:rsidRPr="00DF7318">
        <w:rPr>
          <w:sz w:val="22"/>
          <w:szCs w:val="22"/>
        </w:rPr>
        <w:t xml:space="preserve">. </w:t>
      </w:r>
    </w:p>
    <w:p w14:paraId="76E949BD" w14:textId="1068510E" w:rsidR="00A800C3" w:rsidRPr="00DF7318" w:rsidRDefault="00A800C3" w:rsidP="00DF7318">
      <w:pPr>
        <w:spacing w:line="276" w:lineRule="auto"/>
        <w:rPr>
          <w:sz w:val="22"/>
          <w:szCs w:val="22"/>
        </w:rPr>
      </w:pPr>
      <w:r w:rsidRPr="00DF7318">
        <w:rPr>
          <w:sz w:val="22"/>
          <w:szCs w:val="22"/>
        </w:rPr>
        <w:t>The agreed TG-M Workplan 2019 is annexed to this document (ANNEX 1). The TG-M workplan 2019-2020</w:t>
      </w:r>
      <w:r w:rsidR="00C40313">
        <w:rPr>
          <w:sz w:val="22"/>
          <w:szCs w:val="22"/>
        </w:rPr>
        <w:t>, elaborated</w:t>
      </w:r>
      <w:r w:rsidRPr="00DF7318">
        <w:rPr>
          <w:sz w:val="22"/>
          <w:szCs w:val="22"/>
        </w:rPr>
        <w:t xml:space="preserve"> on basis of the TWSC workplan</w:t>
      </w:r>
      <w:r w:rsidR="00C40313">
        <w:rPr>
          <w:sz w:val="22"/>
          <w:szCs w:val="22"/>
        </w:rPr>
        <w:t>,</w:t>
      </w:r>
      <w:r w:rsidRPr="00DF7318">
        <w:rPr>
          <w:sz w:val="22"/>
          <w:szCs w:val="22"/>
        </w:rPr>
        <w:t xml:space="preserve"> would be further developed over the years with annual updates for WSB.</w:t>
      </w:r>
    </w:p>
    <w:p w14:paraId="14FED722" w14:textId="425F8080" w:rsidR="00A800C3" w:rsidRPr="00DF7318" w:rsidRDefault="005645F0" w:rsidP="00DF7318">
      <w:pPr>
        <w:spacing w:line="276" w:lineRule="auto"/>
        <w:rPr>
          <w:sz w:val="22"/>
          <w:szCs w:val="22"/>
        </w:rPr>
      </w:pPr>
      <w:r>
        <w:rPr>
          <w:sz w:val="22"/>
          <w:szCs w:val="22"/>
          <w:lang w:val="en-GB"/>
        </w:rPr>
        <w:t xml:space="preserve">Regarding a </w:t>
      </w:r>
      <w:r w:rsidR="00F37508">
        <w:rPr>
          <w:sz w:val="22"/>
          <w:szCs w:val="22"/>
          <w:lang w:val="en-GB"/>
        </w:rPr>
        <w:t>number of</w:t>
      </w:r>
      <w:r w:rsidR="00A800C3" w:rsidRPr="00DF7318">
        <w:rPr>
          <w:sz w:val="22"/>
          <w:szCs w:val="22"/>
          <w:lang w:val="en-GB"/>
        </w:rPr>
        <w:t xml:space="preserve"> agenda items</w:t>
      </w:r>
      <w:r w:rsidR="00BC6152" w:rsidRPr="00DF7318">
        <w:rPr>
          <w:sz w:val="22"/>
          <w:szCs w:val="22"/>
          <w:lang w:val="en-GB"/>
        </w:rPr>
        <w:t xml:space="preserve"> resulting from the Leeuwarden Declaration </w:t>
      </w:r>
      <w:r w:rsidR="00774613" w:rsidRPr="00DF7318">
        <w:rPr>
          <w:sz w:val="22"/>
          <w:szCs w:val="22"/>
          <w:lang w:val="en-GB"/>
        </w:rPr>
        <w:t>(Paragraph 22 - 23: Marine litter; Paragraph 24: Light Emissions; Paragraph 29: Energy; Paragraph 30-34: Ports and shipping; Paragraph 36: Trilateral Research Agenda)</w:t>
      </w:r>
      <w:r w:rsidR="00A800C3" w:rsidRPr="00DF7318">
        <w:rPr>
          <w:sz w:val="22"/>
          <w:szCs w:val="22"/>
        </w:rPr>
        <w:t xml:space="preserve"> </w:t>
      </w:r>
      <w:r>
        <w:rPr>
          <w:sz w:val="22"/>
          <w:szCs w:val="22"/>
        </w:rPr>
        <w:t>it was</w:t>
      </w:r>
      <w:r w:rsidR="00A800C3" w:rsidRPr="00DF7318">
        <w:rPr>
          <w:sz w:val="22"/>
          <w:szCs w:val="22"/>
        </w:rPr>
        <w:t xml:space="preserve"> discussed to </w:t>
      </w:r>
      <w:r>
        <w:rPr>
          <w:sz w:val="22"/>
          <w:szCs w:val="22"/>
        </w:rPr>
        <w:t>deal with them</w:t>
      </w:r>
      <w:r w:rsidR="00A800C3" w:rsidRPr="00DF7318">
        <w:rPr>
          <w:sz w:val="22"/>
          <w:szCs w:val="22"/>
        </w:rPr>
        <w:t xml:space="preserve"> </w:t>
      </w:r>
      <w:r>
        <w:rPr>
          <w:sz w:val="22"/>
          <w:szCs w:val="22"/>
        </w:rPr>
        <w:t>in</w:t>
      </w:r>
      <w:r w:rsidR="00A800C3" w:rsidRPr="00DF7318">
        <w:rPr>
          <w:sz w:val="22"/>
          <w:szCs w:val="22"/>
        </w:rPr>
        <w:t xml:space="preserve"> </w:t>
      </w:r>
      <w:r w:rsidR="004964B1">
        <w:rPr>
          <w:sz w:val="22"/>
          <w:szCs w:val="22"/>
        </w:rPr>
        <w:t xml:space="preserve">the </w:t>
      </w:r>
      <w:r w:rsidR="00250873">
        <w:rPr>
          <w:sz w:val="22"/>
          <w:szCs w:val="22"/>
        </w:rPr>
        <w:t xml:space="preserve">framework of the </w:t>
      </w:r>
      <w:r w:rsidR="00A800C3" w:rsidRPr="00DF7318">
        <w:rPr>
          <w:sz w:val="22"/>
          <w:szCs w:val="22"/>
        </w:rPr>
        <w:t>Partnership Hub in the future</w:t>
      </w:r>
      <w:r w:rsidR="00960041">
        <w:rPr>
          <w:sz w:val="22"/>
          <w:szCs w:val="22"/>
        </w:rPr>
        <w:t xml:space="preserve"> with TG-M still observing the progress of these topics in the meantime</w:t>
      </w:r>
      <w:r w:rsidR="00C408CF" w:rsidRPr="00DF7318">
        <w:rPr>
          <w:sz w:val="22"/>
          <w:szCs w:val="22"/>
        </w:rPr>
        <w:t>;</w:t>
      </w:r>
      <w:r w:rsidR="00A800C3" w:rsidRPr="00DF7318">
        <w:rPr>
          <w:sz w:val="22"/>
          <w:szCs w:val="22"/>
        </w:rPr>
        <w:t xml:space="preserve"> </w:t>
      </w:r>
      <w:r w:rsidR="00774613" w:rsidRPr="00DF7318">
        <w:rPr>
          <w:sz w:val="22"/>
          <w:szCs w:val="22"/>
        </w:rPr>
        <w:t xml:space="preserve">a corresponding </w:t>
      </w:r>
      <w:r w:rsidR="00D11CD4">
        <w:rPr>
          <w:sz w:val="22"/>
          <w:szCs w:val="22"/>
        </w:rPr>
        <w:t>note</w:t>
      </w:r>
      <w:r w:rsidR="00774613" w:rsidRPr="00DF7318">
        <w:rPr>
          <w:sz w:val="22"/>
          <w:szCs w:val="22"/>
        </w:rPr>
        <w:t xml:space="preserve"> </w:t>
      </w:r>
      <w:r w:rsidR="00670524" w:rsidRPr="00DF7318">
        <w:rPr>
          <w:sz w:val="22"/>
          <w:szCs w:val="22"/>
        </w:rPr>
        <w:t>on the feasibility</w:t>
      </w:r>
      <w:r w:rsidR="007F6DA6" w:rsidRPr="00DF7318">
        <w:rPr>
          <w:sz w:val="22"/>
          <w:szCs w:val="22"/>
        </w:rPr>
        <w:t xml:space="preserve"> to WSB 29</w:t>
      </w:r>
      <w:r w:rsidR="00670524" w:rsidRPr="00DF7318">
        <w:rPr>
          <w:sz w:val="22"/>
          <w:szCs w:val="22"/>
        </w:rPr>
        <w:t xml:space="preserve"> </w:t>
      </w:r>
      <w:r w:rsidR="00774613" w:rsidRPr="00DF7318">
        <w:rPr>
          <w:sz w:val="22"/>
          <w:szCs w:val="22"/>
        </w:rPr>
        <w:t>would be submitted by the OPteamPH</w:t>
      </w:r>
      <w:r w:rsidR="00D11CD4">
        <w:rPr>
          <w:sz w:val="22"/>
          <w:szCs w:val="22"/>
        </w:rPr>
        <w:t xml:space="preserve"> as part of the respective report</w:t>
      </w:r>
      <w:r w:rsidR="00A800C3" w:rsidRPr="00DF7318">
        <w:rPr>
          <w:sz w:val="22"/>
          <w:szCs w:val="22"/>
        </w:rPr>
        <w:t xml:space="preserve">.  </w:t>
      </w:r>
    </w:p>
    <w:p w14:paraId="0D9F91AF" w14:textId="3DA4AB49" w:rsidR="00670524" w:rsidRPr="00DF7318" w:rsidRDefault="00670524" w:rsidP="00DF7318">
      <w:pPr>
        <w:spacing w:line="276" w:lineRule="auto"/>
        <w:rPr>
          <w:sz w:val="22"/>
          <w:szCs w:val="22"/>
        </w:rPr>
      </w:pPr>
    </w:p>
    <w:p w14:paraId="2E057491" w14:textId="77777777" w:rsidR="00670524" w:rsidRPr="00DF7318" w:rsidRDefault="00670524" w:rsidP="00DF7318">
      <w:pPr>
        <w:spacing w:line="276" w:lineRule="auto"/>
        <w:ind w:left="1440" w:hanging="1440"/>
        <w:rPr>
          <w:b/>
          <w:sz w:val="22"/>
          <w:szCs w:val="22"/>
        </w:rPr>
      </w:pPr>
      <w:r w:rsidRPr="00DF7318">
        <w:rPr>
          <w:b/>
          <w:sz w:val="22"/>
          <w:szCs w:val="22"/>
        </w:rPr>
        <w:t xml:space="preserve">Proposal: </w:t>
      </w:r>
      <w:r w:rsidRPr="00DF7318">
        <w:rPr>
          <w:b/>
          <w:sz w:val="22"/>
          <w:szCs w:val="22"/>
        </w:rPr>
        <w:tab/>
        <w:t>WSB is invited to note the information</w:t>
      </w:r>
      <w:r w:rsidRPr="00DF7318">
        <w:rPr>
          <w:sz w:val="22"/>
          <w:szCs w:val="22"/>
        </w:rPr>
        <w:t>.</w:t>
      </w:r>
    </w:p>
    <w:p w14:paraId="0586F0F9" w14:textId="34B1F7B0" w:rsidR="00A800C3" w:rsidRPr="00DF7318" w:rsidRDefault="00A800C3" w:rsidP="00DF7318">
      <w:pPr>
        <w:spacing w:line="276" w:lineRule="auto"/>
        <w:rPr>
          <w:sz w:val="22"/>
          <w:szCs w:val="22"/>
        </w:rPr>
      </w:pPr>
    </w:p>
    <w:p w14:paraId="2A77F9CC" w14:textId="77777777" w:rsidR="007F6DA6" w:rsidRPr="00DF7318" w:rsidRDefault="007F6DA6" w:rsidP="00DF7318">
      <w:pPr>
        <w:spacing w:line="276" w:lineRule="auto"/>
        <w:rPr>
          <w:sz w:val="22"/>
          <w:szCs w:val="22"/>
        </w:rPr>
      </w:pPr>
    </w:p>
    <w:p w14:paraId="5E239883" w14:textId="77777777" w:rsidR="00774613" w:rsidRPr="00DF7318" w:rsidRDefault="00774613" w:rsidP="00DF7318">
      <w:pPr>
        <w:spacing w:after="240" w:line="276" w:lineRule="auto"/>
        <w:rPr>
          <w:rFonts w:ascii="Arial" w:hAnsi="Arial" w:cs="Arial"/>
          <w:b/>
          <w:sz w:val="22"/>
          <w:szCs w:val="22"/>
        </w:rPr>
      </w:pPr>
      <w:r w:rsidRPr="00DF7318">
        <w:rPr>
          <w:rFonts w:ascii="Arial" w:hAnsi="Arial" w:cs="Arial"/>
          <w:b/>
          <w:sz w:val="22"/>
          <w:szCs w:val="22"/>
        </w:rPr>
        <w:t>Flyway &amp; Breeding Birds</w:t>
      </w:r>
    </w:p>
    <w:p w14:paraId="3F918AFB" w14:textId="64D17A67" w:rsidR="00774613" w:rsidRPr="00DF7318" w:rsidRDefault="00006743" w:rsidP="00DF7318">
      <w:pPr>
        <w:spacing w:after="240" w:line="276" w:lineRule="auto"/>
        <w:rPr>
          <w:sz w:val="22"/>
          <w:szCs w:val="22"/>
        </w:rPr>
      </w:pPr>
      <w:r>
        <w:rPr>
          <w:sz w:val="22"/>
          <w:szCs w:val="22"/>
        </w:rPr>
        <w:t xml:space="preserve">TG-M was informed, that </w:t>
      </w:r>
      <w:r w:rsidR="00774613" w:rsidRPr="00DF7318">
        <w:rPr>
          <w:sz w:val="22"/>
          <w:szCs w:val="22"/>
        </w:rPr>
        <w:t xml:space="preserve">Mr Peter Südbeck, director of the </w:t>
      </w:r>
      <w:r>
        <w:rPr>
          <w:sz w:val="22"/>
          <w:szCs w:val="22"/>
        </w:rPr>
        <w:t xml:space="preserve">Lower Saxony </w:t>
      </w:r>
      <w:r w:rsidR="00774613" w:rsidRPr="00DF7318">
        <w:rPr>
          <w:sz w:val="22"/>
          <w:szCs w:val="22"/>
        </w:rPr>
        <w:t xml:space="preserve">National Park </w:t>
      </w:r>
      <w:r>
        <w:rPr>
          <w:sz w:val="22"/>
          <w:szCs w:val="22"/>
        </w:rPr>
        <w:t>Authority</w:t>
      </w:r>
      <w:r w:rsidR="00774613" w:rsidRPr="00DF7318">
        <w:rPr>
          <w:sz w:val="22"/>
          <w:szCs w:val="22"/>
        </w:rPr>
        <w:t>, was appointed as chairperson for the Wadden Sea Flyway Initiative (WSFI) Steering Group.</w:t>
      </w:r>
    </w:p>
    <w:p w14:paraId="71AAA618" w14:textId="58F04A30" w:rsidR="00774613" w:rsidRPr="00DF7318" w:rsidRDefault="00774613" w:rsidP="00DF7318">
      <w:pPr>
        <w:spacing w:line="276" w:lineRule="auto"/>
        <w:ind w:left="1440" w:hanging="1440"/>
        <w:rPr>
          <w:b/>
          <w:sz w:val="22"/>
          <w:szCs w:val="22"/>
        </w:rPr>
      </w:pPr>
      <w:r w:rsidRPr="00DF7318">
        <w:rPr>
          <w:b/>
          <w:sz w:val="22"/>
          <w:szCs w:val="22"/>
        </w:rPr>
        <w:t xml:space="preserve">Proposal: </w:t>
      </w:r>
      <w:r w:rsidRPr="00DF7318">
        <w:rPr>
          <w:b/>
          <w:sz w:val="22"/>
          <w:szCs w:val="22"/>
        </w:rPr>
        <w:tab/>
        <w:t>WSB is invited to note the information</w:t>
      </w:r>
      <w:r w:rsidRPr="00DF7318">
        <w:rPr>
          <w:sz w:val="22"/>
          <w:szCs w:val="22"/>
        </w:rPr>
        <w:t>.</w:t>
      </w:r>
    </w:p>
    <w:p w14:paraId="4BF94B90" w14:textId="690C84EA" w:rsidR="00670524" w:rsidRPr="00DF7318" w:rsidRDefault="00670524" w:rsidP="00DF7318">
      <w:pPr>
        <w:spacing w:line="276" w:lineRule="auto"/>
        <w:rPr>
          <w:b/>
          <w:bCs/>
          <w:sz w:val="22"/>
          <w:szCs w:val="22"/>
        </w:rPr>
      </w:pPr>
    </w:p>
    <w:p w14:paraId="2053E1B2" w14:textId="77777777" w:rsidR="007F6DA6" w:rsidRPr="00DF7318" w:rsidRDefault="007F6DA6" w:rsidP="00DF7318">
      <w:pPr>
        <w:spacing w:line="276" w:lineRule="auto"/>
        <w:rPr>
          <w:b/>
          <w:bCs/>
          <w:sz w:val="22"/>
          <w:szCs w:val="22"/>
        </w:rPr>
      </w:pPr>
    </w:p>
    <w:p w14:paraId="491D94C9" w14:textId="59452069" w:rsidR="00774613" w:rsidRPr="00DF7318" w:rsidRDefault="00774613" w:rsidP="00DF7318">
      <w:pPr>
        <w:spacing w:after="240" w:line="276" w:lineRule="auto"/>
        <w:rPr>
          <w:rFonts w:ascii="Arial" w:hAnsi="Arial" w:cs="Arial"/>
          <w:b/>
          <w:bCs/>
          <w:sz w:val="22"/>
          <w:szCs w:val="22"/>
        </w:rPr>
      </w:pPr>
      <w:r w:rsidRPr="00DF7318">
        <w:rPr>
          <w:rFonts w:ascii="Arial" w:hAnsi="Arial" w:cs="Arial"/>
          <w:b/>
          <w:bCs/>
          <w:sz w:val="22"/>
          <w:szCs w:val="22"/>
        </w:rPr>
        <w:t>Fish targets / Swimway</w:t>
      </w:r>
    </w:p>
    <w:p w14:paraId="6630FB59" w14:textId="4AC3243E" w:rsidR="00774613" w:rsidRPr="00DF7318" w:rsidRDefault="00774613" w:rsidP="00DF7318">
      <w:pPr>
        <w:spacing w:line="276" w:lineRule="auto"/>
        <w:rPr>
          <w:sz w:val="22"/>
          <w:szCs w:val="22"/>
        </w:rPr>
      </w:pPr>
      <w:r w:rsidRPr="00DF7318">
        <w:rPr>
          <w:sz w:val="22"/>
          <w:szCs w:val="22"/>
        </w:rPr>
        <w:t>The</w:t>
      </w:r>
      <w:r w:rsidR="00573565" w:rsidRPr="00DF7318">
        <w:rPr>
          <w:sz w:val="22"/>
          <w:szCs w:val="22"/>
        </w:rPr>
        <w:t xml:space="preserve"> preparation of the </w:t>
      </w:r>
      <w:r w:rsidRPr="00DF7318">
        <w:rPr>
          <w:sz w:val="22"/>
          <w:szCs w:val="22"/>
        </w:rPr>
        <w:t>international fish conference</w:t>
      </w:r>
      <w:r w:rsidR="00573565" w:rsidRPr="00DF7318">
        <w:rPr>
          <w:sz w:val="22"/>
          <w:szCs w:val="22"/>
        </w:rPr>
        <w:t xml:space="preserve"> (‘SWIMWAYs: Understanding connectivity within the life cycles of coastal fish’)</w:t>
      </w:r>
      <w:r w:rsidRPr="00DF7318">
        <w:rPr>
          <w:sz w:val="22"/>
          <w:szCs w:val="22"/>
        </w:rPr>
        <w:t xml:space="preserve"> </w:t>
      </w:r>
      <w:r w:rsidR="00573565" w:rsidRPr="00DF7318">
        <w:rPr>
          <w:sz w:val="22"/>
          <w:szCs w:val="22"/>
        </w:rPr>
        <w:t xml:space="preserve">on 24-26 September 2019 in Hamburg, Germany, </w:t>
      </w:r>
      <w:r w:rsidR="00960041">
        <w:rPr>
          <w:sz w:val="22"/>
          <w:szCs w:val="22"/>
        </w:rPr>
        <w:t>continues</w:t>
      </w:r>
      <w:r w:rsidRPr="00DF7318">
        <w:rPr>
          <w:sz w:val="22"/>
          <w:szCs w:val="22"/>
        </w:rPr>
        <w:t xml:space="preserve">. A policy/management investigation and </w:t>
      </w:r>
      <w:proofErr w:type="gramStart"/>
      <w:r w:rsidRPr="00DF7318">
        <w:rPr>
          <w:sz w:val="22"/>
          <w:szCs w:val="22"/>
        </w:rPr>
        <w:t>a number of</w:t>
      </w:r>
      <w:proofErr w:type="gramEnd"/>
      <w:r w:rsidRPr="00DF7318">
        <w:rPr>
          <w:sz w:val="22"/>
          <w:szCs w:val="22"/>
        </w:rPr>
        <w:t xml:space="preserve"> research project proposals </w:t>
      </w:r>
      <w:r w:rsidR="00960041">
        <w:rPr>
          <w:sz w:val="22"/>
          <w:szCs w:val="22"/>
        </w:rPr>
        <w:t>ar</w:t>
      </w:r>
      <w:r w:rsidR="00960041" w:rsidRPr="00DF7318">
        <w:rPr>
          <w:sz w:val="22"/>
          <w:szCs w:val="22"/>
        </w:rPr>
        <w:t xml:space="preserve">e </w:t>
      </w:r>
      <w:r w:rsidRPr="00DF7318">
        <w:rPr>
          <w:sz w:val="22"/>
          <w:szCs w:val="22"/>
        </w:rPr>
        <w:t xml:space="preserve">under development. Research projects as such </w:t>
      </w:r>
      <w:r w:rsidR="00960041">
        <w:rPr>
          <w:sz w:val="22"/>
          <w:szCs w:val="22"/>
        </w:rPr>
        <w:t>a</w:t>
      </w:r>
      <w:r w:rsidR="00960041" w:rsidRPr="00DF7318">
        <w:rPr>
          <w:sz w:val="22"/>
          <w:szCs w:val="22"/>
        </w:rPr>
        <w:t xml:space="preserve">re </w:t>
      </w:r>
      <w:r w:rsidRPr="00DF7318">
        <w:rPr>
          <w:sz w:val="22"/>
          <w:szCs w:val="22"/>
        </w:rPr>
        <w:t xml:space="preserve">not foreseen to be financed by the agreed budget, but the preparation of research project proposals including e.g. “feasibility studies” </w:t>
      </w:r>
      <w:r w:rsidR="00960041">
        <w:rPr>
          <w:sz w:val="22"/>
          <w:szCs w:val="22"/>
        </w:rPr>
        <w:t>are</w:t>
      </w:r>
      <w:r w:rsidR="00960041" w:rsidRPr="00DF7318">
        <w:rPr>
          <w:sz w:val="22"/>
          <w:szCs w:val="22"/>
        </w:rPr>
        <w:t xml:space="preserve"> </w:t>
      </w:r>
      <w:r w:rsidRPr="00DF7318">
        <w:rPr>
          <w:sz w:val="22"/>
          <w:szCs w:val="22"/>
        </w:rPr>
        <w:t>eligible for financing under the budget though.</w:t>
      </w:r>
    </w:p>
    <w:p w14:paraId="4BC0AEB9" w14:textId="5BBC3FCB" w:rsidR="00774613" w:rsidRPr="00DF7318" w:rsidRDefault="00774613" w:rsidP="00DF7318">
      <w:pPr>
        <w:spacing w:line="276" w:lineRule="auto"/>
        <w:rPr>
          <w:sz w:val="22"/>
          <w:szCs w:val="22"/>
        </w:rPr>
      </w:pPr>
      <w:r w:rsidRPr="00DF7318">
        <w:rPr>
          <w:sz w:val="22"/>
          <w:szCs w:val="22"/>
        </w:rPr>
        <w:t xml:space="preserve">The ToR for a future EG </w:t>
      </w:r>
      <w:r w:rsidR="00960041">
        <w:rPr>
          <w:sz w:val="22"/>
          <w:szCs w:val="22"/>
        </w:rPr>
        <w:t>i</w:t>
      </w:r>
      <w:r w:rsidR="00960041" w:rsidRPr="00DF7318">
        <w:rPr>
          <w:sz w:val="22"/>
          <w:szCs w:val="22"/>
        </w:rPr>
        <w:t xml:space="preserve">s </w:t>
      </w:r>
      <w:r w:rsidRPr="00DF7318">
        <w:rPr>
          <w:sz w:val="22"/>
          <w:szCs w:val="22"/>
        </w:rPr>
        <w:t xml:space="preserve">part of the workplan of the interim WG and </w:t>
      </w:r>
      <w:r w:rsidR="00960041" w:rsidRPr="00DF7318">
        <w:rPr>
          <w:sz w:val="22"/>
          <w:szCs w:val="22"/>
        </w:rPr>
        <w:t>w</w:t>
      </w:r>
      <w:r w:rsidR="00960041">
        <w:rPr>
          <w:sz w:val="22"/>
          <w:szCs w:val="22"/>
        </w:rPr>
        <w:t>ill</w:t>
      </w:r>
      <w:r w:rsidR="00960041" w:rsidRPr="00DF7318">
        <w:rPr>
          <w:sz w:val="22"/>
          <w:szCs w:val="22"/>
        </w:rPr>
        <w:t xml:space="preserve"> </w:t>
      </w:r>
      <w:r w:rsidRPr="00DF7318">
        <w:rPr>
          <w:sz w:val="22"/>
          <w:szCs w:val="22"/>
        </w:rPr>
        <w:t>be submitted to WSB 30 in November.</w:t>
      </w:r>
    </w:p>
    <w:p w14:paraId="1699F0E5" w14:textId="77777777" w:rsidR="00774613" w:rsidRPr="00DF7318" w:rsidRDefault="00774613" w:rsidP="00DF7318">
      <w:pPr>
        <w:spacing w:line="276" w:lineRule="auto"/>
        <w:rPr>
          <w:sz w:val="22"/>
          <w:szCs w:val="22"/>
        </w:rPr>
      </w:pPr>
    </w:p>
    <w:p w14:paraId="78AEF570" w14:textId="6992E4CB" w:rsidR="00774613" w:rsidRPr="00DF7318" w:rsidRDefault="00774613" w:rsidP="00DF7318">
      <w:pPr>
        <w:spacing w:line="276" w:lineRule="auto"/>
        <w:ind w:left="1440" w:hanging="1440"/>
        <w:rPr>
          <w:b/>
          <w:sz w:val="22"/>
          <w:szCs w:val="22"/>
        </w:rPr>
      </w:pPr>
      <w:r w:rsidRPr="00DF7318">
        <w:rPr>
          <w:b/>
          <w:sz w:val="22"/>
          <w:szCs w:val="22"/>
        </w:rPr>
        <w:t xml:space="preserve">Proposal: </w:t>
      </w:r>
      <w:r w:rsidRPr="00DF7318">
        <w:rPr>
          <w:b/>
          <w:sz w:val="22"/>
          <w:szCs w:val="22"/>
        </w:rPr>
        <w:tab/>
        <w:t>WSB is invited to note the information.</w:t>
      </w:r>
    </w:p>
    <w:p w14:paraId="5EAEF30C" w14:textId="32E630E0" w:rsidR="00774613" w:rsidRDefault="00774613" w:rsidP="00DF7318">
      <w:pPr>
        <w:spacing w:line="276" w:lineRule="auto"/>
        <w:rPr>
          <w:sz w:val="22"/>
          <w:szCs w:val="22"/>
        </w:rPr>
      </w:pPr>
    </w:p>
    <w:p w14:paraId="43EDDA04" w14:textId="16D1A0B9" w:rsidR="00250873" w:rsidRDefault="00250873" w:rsidP="00DF7318">
      <w:pPr>
        <w:spacing w:line="276" w:lineRule="auto"/>
        <w:rPr>
          <w:sz w:val="22"/>
          <w:szCs w:val="22"/>
        </w:rPr>
      </w:pPr>
    </w:p>
    <w:p w14:paraId="030FA7D0" w14:textId="77777777" w:rsidR="00250873" w:rsidRPr="00DF7318" w:rsidRDefault="00250873" w:rsidP="00DF7318">
      <w:pPr>
        <w:spacing w:line="276" w:lineRule="auto"/>
        <w:rPr>
          <w:sz w:val="22"/>
          <w:szCs w:val="22"/>
        </w:rPr>
      </w:pPr>
    </w:p>
    <w:p w14:paraId="10345498" w14:textId="77777777" w:rsidR="00C408CF" w:rsidRPr="00DF7318" w:rsidRDefault="00C408CF" w:rsidP="00DF7318">
      <w:pPr>
        <w:spacing w:line="276" w:lineRule="auto"/>
        <w:rPr>
          <w:sz w:val="22"/>
          <w:szCs w:val="22"/>
        </w:rPr>
      </w:pPr>
    </w:p>
    <w:p w14:paraId="08C663EC" w14:textId="2C70DDAF" w:rsidR="00670524" w:rsidRPr="00DF7318" w:rsidRDefault="00670524" w:rsidP="00DF7318">
      <w:pPr>
        <w:spacing w:after="120" w:line="276" w:lineRule="auto"/>
        <w:rPr>
          <w:rFonts w:ascii="Arial" w:hAnsi="Arial" w:cs="Arial"/>
          <w:b/>
          <w:sz w:val="22"/>
          <w:szCs w:val="22"/>
        </w:rPr>
      </w:pPr>
      <w:r w:rsidRPr="00DF7318">
        <w:rPr>
          <w:rFonts w:ascii="Arial" w:hAnsi="Arial" w:cs="Arial"/>
          <w:b/>
          <w:sz w:val="22"/>
          <w:szCs w:val="22"/>
        </w:rPr>
        <w:lastRenderedPageBreak/>
        <w:t>Wardening &amp; management</w:t>
      </w:r>
    </w:p>
    <w:p w14:paraId="00F559A5" w14:textId="127C0445" w:rsidR="00670524" w:rsidRPr="00DF7318" w:rsidRDefault="00670524" w:rsidP="00DF7318">
      <w:pPr>
        <w:spacing w:after="120" w:line="276" w:lineRule="auto"/>
        <w:rPr>
          <w:bCs/>
          <w:sz w:val="22"/>
          <w:szCs w:val="22"/>
        </w:rPr>
      </w:pPr>
      <w:r w:rsidRPr="00DF7318">
        <w:rPr>
          <w:bCs/>
          <w:sz w:val="22"/>
          <w:szCs w:val="22"/>
        </w:rPr>
        <w:t xml:space="preserve">The </w:t>
      </w:r>
      <w:r w:rsidRPr="00DF7318">
        <w:rPr>
          <w:bCs/>
          <w:sz w:val="22"/>
          <w:szCs w:val="22"/>
          <w:u w:val="single"/>
        </w:rPr>
        <w:t>wardening</w:t>
      </w:r>
      <w:r w:rsidRPr="00DF7318">
        <w:rPr>
          <w:bCs/>
          <w:sz w:val="22"/>
          <w:szCs w:val="22"/>
        </w:rPr>
        <w:t xml:space="preserve"> workshop had been under preparation.</w:t>
      </w:r>
      <w:r w:rsidR="00C408CF" w:rsidRPr="00DF7318">
        <w:rPr>
          <w:bCs/>
          <w:sz w:val="22"/>
          <w:szCs w:val="22"/>
        </w:rPr>
        <w:t xml:space="preserve"> Due to a series of delays and the limited flexibility </w:t>
      </w:r>
      <w:r w:rsidR="00F37508">
        <w:rPr>
          <w:bCs/>
          <w:sz w:val="22"/>
          <w:szCs w:val="22"/>
        </w:rPr>
        <w:t>o</w:t>
      </w:r>
      <w:r w:rsidR="00C408CF" w:rsidRPr="00DF7318">
        <w:rPr>
          <w:bCs/>
          <w:sz w:val="22"/>
          <w:szCs w:val="22"/>
        </w:rPr>
        <w:t>n dates of the involved working boat crew, the envisaged date on 26-27 June 2019 would be difficult to match. An alternative date in autumn would be set if necessary.</w:t>
      </w:r>
    </w:p>
    <w:p w14:paraId="371A7BE1" w14:textId="66412E91" w:rsidR="00670524" w:rsidRPr="00DF7318" w:rsidRDefault="00670524" w:rsidP="00DF7318">
      <w:pPr>
        <w:spacing w:after="120" w:line="276" w:lineRule="auto"/>
        <w:rPr>
          <w:bCs/>
          <w:sz w:val="22"/>
          <w:szCs w:val="22"/>
          <w:lang w:val="en-GB"/>
        </w:rPr>
      </w:pPr>
      <w:r w:rsidRPr="00DF7318">
        <w:rPr>
          <w:bCs/>
          <w:sz w:val="22"/>
          <w:szCs w:val="22"/>
          <w:lang w:val="en-GB"/>
        </w:rPr>
        <w:t xml:space="preserve">The SIMP had been considered as a major theme for a </w:t>
      </w:r>
      <w:r w:rsidRPr="00DF7318">
        <w:rPr>
          <w:bCs/>
          <w:sz w:val="22"/>
          <w:szCs w:val="22"/>
          <w:u w:val="single"/>
          <w:lang w:val="en-GB"/>
        </w:rPr>
        <w:t xml:space="preserve">workshop </w:t>
      </w:r>
      <w:r w:rsidR="00D11CD4">
        <w:rPr>
          <w:bCs/>
          <w:sz w:val="22"/>
          <w:szCs w:val="22"/>
          <w:u w:val="single"/>
          <w:lang w:val="en-GB"/>
        </w:rPr>
        <w:t>for</w:t>
      </w:r>
      <w:r w:rsidRPr="00DF7318">
        <w:rPr>
          <w:bCs/>
          <w:sz w:val="22"/>
          <w:szCs w:val="22"/>
          <w:u w:val="single"/>
          <w:lang w:val="en-GB"/>
        </w:rPr>
        <w:t xml:space="preserve"> site managers</w:t>
      </w:r>
      <w:r w:rsidRPr="00DF7318">
        <w:rPr>
          <w:bCs/>
          <w:sz w:val="22"/>
          <w:szCs w:val="22"/>
          <w:lang w:val="en-GB"/>
        </w:rPr>
        <w:t xml:space="preserve"> in autumn 2019. Schleswig-Holstein offered to host th</w:t>
      </w:r>
      <w:r w:rsidR="00C408CF" w:rsidRPr="00DF7318">
        <w:rPr>
          <w:bCs/>
          <w:sz w:val="22"/>
          <w:szCs w:val="22"/>
          <w:lang w:val="en-GB"/>
        </w:rPr>
        <w:t>is</w:t>
      </w:r>
      <w:r w:rsidRPr="00DF7318">
        <w:rPr>
          <w:bCs/>
          <w:sz w:val="22"/>
          <w:szCs w:val="22"/>
          <w:lang w:val="en-GB"/>
        </w:rPr>
        <w:t xml:space="preserve"> workshop</w:t>
      </w:r>
      <w:r w:rsidR="00F37508">
        <w:rPr>
          <w:bCs/>
          <w:sz w:val="22"/>
          <w:szCs w:val="22"/>
          <w:lang w:val="en-GB"/>
        </w:rPr>
        <w:t xml:space="preserve"> with</w:t>
      </w:r>
      <w:r w:rsidRPr="00DF7318">
        <w:rPr>
          <w:bCs/>
          <w:sz w:val="22"/>
          <w:szCs w:val="22"/>
          <w:lang w:val="en-GB"/>
        </w:rPr>
        <w:t xml:space="preserve"> </w:t>
      </w:r>
      <w:r w:rsidR="00F37508">
        <w:rPr>
          <w:bCs/>
          <w:sz w:val="22"/>
          <w:szCs w:val="22"/>
          <w:lang w:val="en-GB"/>
        </w:rPr>
        <w:t>r</w:t>
      </w:r>
      <w:r w:rsidRPr="00DF7318">
        <w:rPr>
          <w:bCs/>
          <w:sz w:val="22"/>
          <w:szCs w:val="22"/>
          <w:lang w:val="en-GB"/>
        </w:rPr>
        <w:t>epresentatives from the competent authorities, such as the National Park Administrations</w:t>
      </w:r>
      <w:r w:rsidR="00C40313">
        <w:rPr>
          <w:bCs/>
          <w:sz w:val="22"/>
          <w:szCs w:val="22"/>
          <w:lang w:val="en-GB"/>
        </w:rPr>
        <w:t>,</w:t>
      </w:r>
      <w:r w:rsidRPr="00DF7318">
        <w:rPr>
          <w:bCs/>
          <w:sz w:val="22"/>
          <w:szCs w:val="22"/>
          <w:lang w:val="en-GB"/>
        </w:rPr>
        <w:t xml:space="preserve"> as well as representatives from the relevant NGOs </w:t>
      </w:r>
      <w:r w:rsidR="00F37508">
        <w:rPr>
          <w:bCs/>
          <w:sz w:val="22"/>
          <w:szCs w:val="22"/>
          <w:lang w:val="en-GB"/>
        </w:rPr>
        <w:t>foreseen to be invited</w:t>
      </w:r>
      <w:r w:rsidRPr="00DF7318">
        <w:rPr>
          <w:bCs/>
          <w:sz w:val="22"/>
          <w:szCs w:val="22"/>
          <w:lang w:val="en-GB"/>
        </w:rPr>
        <w:t xml:space="preserve">. The event </w:t>
      </w:r>
      <w:r w:rsidR="00C40313">
        <w:rPr>
          <w:bCs/>
          <w:sz w:val="22"/>
          <w:szCs w:val="22"/>
          <w:lang w:val="en-GB"/>
        </w:rPr>
        <w:t xml:space="preserve">would not </w:t>
      </w:r>
      <w:r w:rsidRPr="00DF7318">
        <w:rPr>
          <w:bCs/>
          <w:sz w:val="22"/>
          <w:szCs w:val="22"/>
          <w:lang w:val="en-GB"/>
        </w:rPr>
        <w:t xml:space="preserve">replace the initially envisaged workshop </w:t>
      </w:r>
      <w:r w:rsidR="00C40313">
        <w:rPr>
          <w:bCs/>
          <w:sz w:val="22"/>
          <w:szCs w:val="22"/>
          <w:lang w:val="en-GB"/>
        </w:rPr>
        <w:t>for</w:t>
      </w:r>
      <w:r w:rsidRPr="00DF7318">
        <w:rPr>
          <w:bCs/>
          <w:sz w:val="22"/>
          <w:szCs w:val="22"/>
          <w:lang w:val="en-GB"/>
        </w:rPr>
        <w:t xml:space="preserve"> managers who work on the ground, which </w:t>
      </w:r>
      <w:r w:rsidR="00C40313">
        <w:rPr>
          <w:bCs/>
          <w:sz w:val="22"/>
          <w:szCs w:val="22"/>
          <w:lang w:val="en-GB"/>
        </w:rPr>
        <w:t>was planned to</w:t>
      </w:r>
      <w:r w:rsidRPr="00DF7318">
        <w:rPr>
          <w:bCs/>
          <w:sz w:val="22"/>
          <w:szCs w:val="22"/>
          <w:lang w:val="en-GB"/>
        </w:rPr>
        <w:t xml:space="preserve"> focus on concrete management issues concerning specific habitats and species. </w:t>
      </w:r>
    </w:p>
    <w:p w14:paraId="74E5C8F2" w14:textId="200927AB" w:rsidR="00670524" w:rsidRPr="00DF7318" w:rsidRDefault="00670524" w:rsidP="00DF7318">
      <w:pPr>
        <w:spacing w:after="120" w:line="276" w:lineRule="auto"/>
        <w:rPr>
          <w:b/>
          <w:sz w:val="22"/>
          <w:szCs w:val="22"/>
        </w:rPr>
      </w:pPr>
      <w:r w:rsidRPr="00DF7318">
        <w:rPr>
          <w:b/>
          <w:sz w:val="22"/>
          <w:szCs w:val="22"/>
        </w:rPr>
        <w:t>Proposal:</w:t>
      </w:r>
      <w:r w:rsidRPr="00DF7318">
        <w:rPr>
          <w:b/>
          <w:sz w:val="22"/>
          <w:szCs w:val="22"/>
        </w:rPr>
        <w:tab/>
        <w:t>WSB is invited to endorse the approach.</w:t>
      </w:r>
    </w:p>
    <w:p w14:paraId="1A439D05" w14:textId="77777777" w:rsidR="00266931" w:rsidRPr="00DF7318" w:rsidRDefault="00266931" w:rsidP="00DF7318">
      <w:pPr>
        <w:spacing w:after="120" w:line="276" w:lineRule="auto"/>
        <w:rPr>
          <w:b/>
          <w:sz w:val="22"/>
          <w:szCs w:val="22"/>
        </w:rPr>
      </w:pPr>
    </w:p>
    <w:p w14:paraId="46EF7F0D" w14:textId="77777777" w:rsidR="00670524" w:rsidRPr="00DF7318" w:rsidRDefault="00670524" w:rsidP="00DF7318">
      <w:pPr>
        <w:spacing w:after="240" w:line="276" w:lineRule="auto"/>
        <w:rPr>
          <w:rFonts w:ascii="Arial" w:hAnsi="Arial" w:cs="Arial"/>
          <w:b/>
          <w:sz w:val="22"/>
          <w:szCs w:val="22"/>
        </w:rPr>
      </w:pPr>
      <w:r w:rsidRPr="00DF7318">
        <w:rPr>
          <w:rFonts w:ascii="Arial" w:hAnsi="Arial" w:cs="Arial"/>
          <w:b/>
          <w:sz w:val="22"/>
          <w:szCs w:val="22"/>
        </w:rPr>
        <w:t>Seal Management Plan</w:t>
      </w:r>
    </w:p>
    <w:p w14:paraId="3B34D540" w14:textId="6CE9DDE0" w:rsidR="00670524" w:rsidRPr="00DF7318" w:rsidRDefault="00670524" w:rsidP="00DF7318">
      <w:pPr>
        <w:spacing w:after="120" w:line="276" w:lineRule="auto"/>
        <w:rPr>
          <w:bCs/>
          <w:sz w:val="22"/>
          <w:szCs w:val="22"/>
        </w:rPr>
      </w:pPr>
      <w:r w:rsidRPr="00DF7318">
        <w:rPr>
          <w:bCs/>
          <w:sz w:val="22"/>
          <w:szCs w:val="22"/>
        </w:rPr>
        <w:t>The Netherlands reported that the SMP was considered under the Water Framework Directive (WFD) activities for the North Sea.</w:t>
      </w:r>
    </w:p>
    <w:p w14:paraId="72E556E3" w14:textId="77777777" w:rsidR="00670524" w:rsidRPr="00DF7318" w:rsidRDefault="00670524" w:rsidP="00DF7318">
      <w:pPr>
        <w:spacing w:line="276" w:lineRule="auto"/>
        <w:ind w:left="1440" w:hanging="1440"/>
        <w:rPr>
          <w:b/>
          <w:sz w:val="22"/>
          <w:szCs w:val="22"/>
        </w:rPr>
      </w:pPr>
      <w:r w:rsidRPr="00DF7318">
        <w:rPr>
          <w:b/>
          <w:sz w:val="22"/>
          <w:szCs w:val="22"/>
        </w:rPr>
        <w:t xml:space="preserve">Proposal: </w:t>
      </w:r>
      <w:r w:rsidRPr="00DF7318">
        <w:rPr>
          <w:b/>
          <w:sz w:val="22"/>
          <w:szCs w:val="22"/>
        </w:rPr>
        <w:tab/>
        <w:t>WSB is invited to note the information.</w:t>
      </w:r>
    </w:p>
    <w:p w14:paraId="369D8B4C" w14:textId="2A152F8C" w:rsidR="00670524" w:rsidRPr="00DF7318" w:rsidRDefault="00670524" w:rsidP="00DF7318">
      <w:pPr>
        <w:spacing w:after="120" w:line="276" w:lineRule="auto"/>
        <w:rPr>
          <w:b/>
          <w:sz w:val="22"/>
          <w:szCs w:val="22"/>
        </w:rPr>
      </w:pPr>
    </w:p>
    <w:p w14:paraId="0DF596F0" w14:textId="659AE82D" w:rsidR="00670524" w:rsidRPr="00DF7318" w:rsidRDefault="00670524" w:rsidP="00DF7318">
      <w:pPr>
        <w:spacing w:after="120" w:line="276" w:lineRule="auto"/>
        <w:rPr>
          <w:rFonts w:ascii="Arial" w:hAnsi="Arial" w:cs="Arial"/>
          <w:b/>
          <w:sz w:val="22"/>
          <w:szCs w:val="22"/>
        </w:rPr>
      </w:pPr>
      <w:r w:rsidRPr="00DF7318">
        <w:rPr>
          <w:rFonts w:ascii="Arial" w:hAnsi="Arial" w:cs="Arial"/>
          <w:b/>
          <w:sz w:val="22"/>
          <w:szCs w:val="22"/>
        </w:rPr>
        <w:t>Harbour porpoises</w:t>
      </w:r>
    </w:p>
    <w:p w14:paraId="09CDCB61" w14:textId="5078848B" w:rsidR="00670524" w:rsidRPr="00DF7318" w:rsidRDefault="00573565" w:rsidP="00DF7318">
      <w:pPr>
        <w:spacing w:after="120" w:line="276" w:lineRule="auto"/>
        <w:rPr>
          <w:sz w:val="22"/>
          <w:szCs w:val="22"/>
        </w:rPr>
      </w:pPr>
      <w:r w:rsidRPr="00DF7318">
        <w:rPr>
          <w:sz w:val="22"/>
          <w:szCs w:val="22"/>
        </w:rPr>
        <w:t>As a first step of the implementation of</w:t>
      </w:r>
      <w:r w:rsidR="00C408CF" w:rsidRPr="00DF7318">
        <w:rPr>
          <w:sz w:val="22"/>
          <w:szCs w:val="22"/>
        </w:rPr>
        <w:t xml:space="preserve"> paragraph 16 of the Leeuwarden Declaration</w:t>
      </w:r>
      <w:r w:rsidRPr="00DF7318">
        <w:rPr>
          <w:sz w:val="22"/>
          <w:szCs w:val="22"/>
        </w:rPr>
        <w:t>, a</w:t>
      </w:r>
      <w:r w:rsidRPr="00DF7318">
        <w:rPr>
          <w:bCs/>
          <w:sz w:val="22"/>
          <w:szCs w:val="22"/>
        </w:rPr>
        <w:t xml:space="preserve"> </w:t>
      </w:r>
      <w:r w:rsidR="00C408CF" w:rsidRPr="00DF7318">
        <w:rPr>
          <w:bCs/>
          <w:sz w:val="22"/>
          <w:szCs w:val="22"/>
        </w:rPr>
        <w:t xml:space="preserve">scientific </w:t>
      </w:r>
      <w:r w:rsidR="00670524" w:rsidRPr="00DF7318">
        <w:rPr>
          <w:bCs/>
          <w:sz w:val="22"/>
          <w:szCs w:val="22"/>
        </w:rPr>
        <w:t xml:space="preserve">symposium </w:t>
      </w:r>
      <w:r w:rsidR="00C408CF" w:rsidRPr="00DF7318">
        <w:rPr>
          <w:bCs/>
          <w:sz w:val="22"/>
          <w:szCs w:val="22"/>
        </w:rPr>
        <w:t xml:space="preserve">on harbour porpoises in the Wadden Sea </w:t>
      </w:r>
      <w:r w:rsidR="00670524" w:rsidRPr="00DF7318">
        <w:rPr>
          <w:bCs/>
          <w:sz w:val="22"/>
          <w:szCs w:val="22"/>
        </w:rPr>
        <w:t>and</w:t>
      </w:r>
      <w:r w:rsidR="00C408CF" w:rsidRPr="00DF7318">
        <w:rPr>
          <w:bCs/>
          <w:sz w:val="22"/>
          <w:szCs w:val="22"/>
        </w:rPr>
        <w:t xml:space="preserve"> a subsequent trilateral </w:t>
      </w:r>
      <w:r w:rsidR="00670524" w:rsidRPr="00DF7318">
        <w:rPr>
          <w:bCs/>
          <w:sz w:val="22"/>
          <w:szCs w:val="22"/>
        </w:rPr>
        <w:t>workshop</w:t>
      </w:r>
      <w:r w:rsidRPr="00DF7318">
        <w:rPr>
          <w:bCs/>
          <w:sz w:val="22"/>
          <w:szCs w:val="22"/>
        </w:rPr>
        <w:t xml:space="preserve"> were held on 11-12 of April</w:t>
      </w:r>
      <w:r w:rsidR="00670524" w:rsidRPr="00DF7318">
        <w:rPr>
          <w:bCs/>
          <w:sz w:val="22"/>
          <w:szCs w:val="22"/>
        </w:rPr>
        <w:t xml:space="preserve">. </w:t>
      </w:r>
      <w:r w:rsidRPr="00DF7318">
        <w:rPr>
          <w:sz w:val="22"/>
          <w:szCs w:val="22"/>
        </w:rPr>
        <w:t xml:space="preserve">The trilateral workshop was organized as a follow up </w:t>
      </w:r>
      <w:r w:rsidR="00F37508">
        <w:rPr>
          <w:sz w:val="22"/>
          <w:szCs w:val="22"/>
        </w:rPr>
        <w:t>of</w:t>
      </w:r>
      <w:r w:rsidRPr="00DF7318">
        <w:rPr>
          <w:sz w:val="22"/>
          <w:szCs w:val="22"/>
        </w:rPr>
        <w:t xml:space="preserve"> the scientific symposium “Bright Future? Harbour porpoises in the Wadden Sea” the day before. The event aimed to highlight and further explore the role of this small and common whale in the Wadden Sea ecosystem and was organized by the Common Wadden Sea Secretariat and the UNESCO World Heritage Visitors Center</w:t>
      </w:r>
      <w:r w:rsidR="00027A67">
        <w:rPr>
          <w:sz w:val="22"/>
          <w:szCs w:val="22"/>
        </w:rPr>
        <w:t xml:space="preserve"> </w:t>
      </w:r>
      <w:r w:rsidR="004964B1">
        <w:rPr>
          <w:sz w:val="22"/>
          <w:szCs w:val="22"/>
        </w:rPr>
        <w:t xml:space="preserve">in </w:t>
      </w:r>
      <w:r w:rsidR="00027A67">
        <w:rPr>
          <w:sz w:val="22"/>
          <w:szCs w:val="22"/>
        </w:rPr>
        <w:t>Wilhelmshaven</w:t>
      </w:r>
      <w:r w:rsidRPr="00DF7318">
        <w:rPr>
          <w:sz w:val="22"/>
          <w:szCs w:val="22"/>
        </w:rPr>
        <w:t xml:space="preserve">. </w:t>
      </w:r>
      <w:r w:rsidR="00670524" w:rsidRPr="00DF7318">
        <w:rPr>
          <w:bCs/>
          <w:sz w:val="22"/>
          <w:szCs w:val="22"/>
        </w:rPr>
        <w:t xml:space="preserve">Seven recommendations </w:t>
      </w:r>
      <w:r w:rsidR="00D11CD4">
        <w:rPr>
          <w:bCs/>
          <w:sz w:val="22"/>
          <w:szCs w:val="22"/>
        </w:rPr>
        <w:t xml:space="preserve">to the TWSC </w:t>
      </w:r>
      <w:r w:rsidR="00670524" w:rsidRPr="00DF7318">
        <w:rPr>
          <w:bCs/>
          <w:sz w:val="22"/>
          <w:szCs w:val="22"/>
        </w:rPr>
        <w:t>were drafted during the workshop.</w:t>
      </w:r>
    </w:p>
    <w:p w14:paraId="5E0D5F71" w14:textId="4DDBB2D2" w:rsidR="00067A49" w:rsidRPr="00DF7318" w:rsidRDefault="00573565" w:rsidP="00D11CD4">
      <w:pPr>
        <w:spacing w:after="120" w:line="276" w:lineRule="auto"/>
        <w:rPr>
          <w:sz w:val="22"/>
          <w:szCs w:val="22"/>
        </w:rPr>
      </w:pPr>
      <w:r w:rsidRPr="00DF7318">
        <w:rPr>
          <w:bCs/>
          <w:sz w:val="22"/>
          <w:szCs w:val="22"/>
        </w:rPr>
        <w:t xml:space="preserve">A separate paper comprising the report </w:t>
      </w:r>
      <w:r w:rsidR="00F37508">
        <w:rPr>
          <w:bCs/>
          <w:sz w:val="22"/>
          <w:szCs w:val="22"/>
        </w:rPr>
        <w:t xml:space="preserve">with the recommendations </w:t>
      </w:r>
      <w:r w:rsidRPr="00DF7318">
        <w:rPr>
          <w:bCs/>
          <w:sz w:val="22"/>
          <w:szCs w:val="22"/>
        </w:rPr>
        <w:t xml:space="preserve">and further </w:t>
      </w:r>
      <w:r w:rsidR="00006743">
        <w:rPr>
          <w:bCs/>
          <w:sz w:val="22"/>
          <w:szCs w:val="22"/>
        </w:rPr>
        <w:t>proposals</w:t>
      </w:r>
      <w:r w:rsidR="00006743" w:rsidRPr="00DF7318">
        <w:rPr>
          <w:bCs/>
          <w:sz w:val="22"/>
          <w:szCs w:val="22"/>
        </w:rPr>
        <w:t xml:space="preserve"> </w:t>
      </w:r>
      <w:r w:rsidRPr="00DF7318">
        <w:rPr>
          <w:bCs/>
          <w:sz w:val="22"/>
          <w:szCs w:val="22"/>
        </w:rPr>
        <w:t xml:space="preserve">on </w:t>
      </w:r>
      <w:r w:rsidR="00006743">
        <w:rPr>
          <w:bCs/>
          <w:sz w:val="22"/>
          <w:szCs w:val="22"/>
        </w:rPr>
        <w:t xml:space="preserve">how to proceed </w:t>
      </w:r>
      <w:r w:rsidRPr="00DF7318">
        <w:rPr>
          <w:bCs/>
          <w:sz w:val="22"/>
          <w:szCs w:val="22"/>
        </w:rPr>
        <w:t>o</w:t>
      </w:r>
      <w:r w:rsidR="00006743">
        <w:rPr>
          <w:bCs/>
          <w:sz w:val="22"/>
          <w:szCs w:val="22"/>
        </w:rPr>
        <w:t>n</w:t>
      </w:r>
      <w:r w:rsidRPr="00DF7318">
        <w:rPr>
          <w:bCs/>
          <w:sz w:val="22"/>
          <w:szCs w:val="22"/>
        </w:rPr>
        <w:t xml:space="preserve"> the topic was submitted </w:t>
      </w:r>
      <w:r w:rsidR="00D11CD4">
        <w:rPr>
          <w:bCs/>
          <w:sz w:val="22"/>
          <w:szCs w:val="22"/>
        </w:rPr>
        <w:t>(</w:t>
      </w:r>
      <w:r w:rsidRPr="00DF7318">
        <w:rPr>
          <w:bCs/>
          <w:sz w:val="22"/>
          <w:szCs w:val="22"/>
        </w:rPr>
        <w:t>WSB 19/5.2/</w:t>
      </w:r>
      <w:r w:rsidR="00D11CD4">
        <w:rPr>
          <w:bCs/>
          <w:sz w:val="22"/>
          <w:szCs w:val="22"/>
        </w:rPr>
        <w:t>2)</w:t>
      </w:r>
      <w:r w:rsidRPr="00DF7318">
        <w:rPr>
          <w:bCs/>
          <w:sz w:val="22"/>
          <w:szCs w:val="22"/>
        </w:rPr>
        <w:t>.</w:t>
      </w:r>
    </w:p>
    <w:p w14:paraId="42136CB5" w14:textId="107E29D4" w:rsidR="00067A49" w:rsidRPr="00DF7318" w:rsidRDefault="00067A49" w:rsidP="00DF7318">
      <w:pPr>
        <w:spacing w:line="276" w:lineRule="auto"/>
        <w:ind w:left="1440" w:hanging="1440"/>
        <w:rPr>
          <w:b/>
          <w:sz w:val="22"/>
          <w:szCs w:val="22"/>
        </w:rPr>
      </w:pPr>
      <w:r w:rsidRPr="00DF7318">
        <w:rPr>
          <w:b/>
          <w:sz w:val="22"/>
          <w:szCs w:val="22"/>
        </w:rPr>
        <w:t xml:space="preserve">Proposal: </w:t>
      </w:r>
      <w:r w:rsidRPr="00DF7318">
        <w:rPr>
          <w:b/>
          <w:sz w:val="22"/>
          <w:szCs w:val="22"/>
        </w:rPr>
        <w:tab/>
        <w:t>WSB is invited to note the information.</w:t>
      </w:r>
    </w:p>
    <w:p w14:paraId="7E3E42DA" w14:textId="77777777" w:rsidR="00067A49" w:rsidRPr="00DF7318" w:rsidRDefault="00067A49" w:rsidP="00DF7318">
      <w:pPr>
        <w:spacing w:line="276" w:lineRule="auto"/>
        <w:rPr>
          <w:b/>
          <w:sz w:val="22"/>
          <w:szCs w:val="22"/>
        </w:rPr>
      </w:pPr>
    </w:p>
    <w:p w14:paraId="0391AD0F" w14:textId="77777777" w:rsidR="00067A49" w:rsidRPr="00DF7318" w:rsidRDefault="00067A49" w:rsidP="00DF7318">
      <w:pPr>
        <w:spacing w:line="276" w:lineRule="auto"/>
        <w:rPr>
          <w:sz w:val="22"/>
          <w:szCs w:val="22"/>
        </w:rPr>
      </w:pPr>
    </w:p>
    <w:p w14:paraId="78286140" w14:textId="77777777" w:rsidR="00266931" w:rsidRPr="00DF7318" w:rsidRDefault="00067A49" w:rsidP="00DF7318">
      <w:pPr>
        <w:spacing w:after="240" w:line="276" w:lineRule="auto"/>
        <w:rPr>
          <w:rFonts w:ascii="Arial" w:hAnsi="Arial" w:cs="Arial"/>
          <w:b/>
          <w:sz w:val="22"/>
          <w:szCs w:val="22"/>
          <w:lang w:val="en-GB"/>
        </w:rPr>
      </w:pPr>
      <w:r w:rsidRPr="00DF7318">
        <w:rPr>
          <w:rFonts w:ascii="Arial" w:hAnsi="Arial" w:cs="Arial"/>
          <w:b/>
          <w:sz w:val="22"/>
          <w:szCs w:val="22"/>
          <w:lang w:val="en-GB"/>
        </w:rPr>
        <w:t>Sustainable Fisheries</w:t>
      </w:r>
    </w:p>
    <w:p w14:paraId="55D31EE2" w14:textId="35A78805" w:rsidR="00250873" w:rsidRPr="00DF7318" w:rsidRDefault="00D11CD4" w:rsidP="00DF7318">
      <w:pPr>
        <w:spacing w:after="120" w:line="276" w:lineRule="auto"/>
        <w:rPr>
          <w:sz w:val="22"/>
          <w:szCs w:val="22"/>
        </w:rPr>
      </w:pPr>
      <w:r>
        <w:rPr>
          <w:sz w:val="22"/>
          <w:szCs w:val="22"/>
        </w:rPr>
        <w:t xml:space="preserve">(see item Single Integrated </w:t>
      </w:r>
      <w:r w:rsidR="00E32536">
        <w:rPr>
          <w:sz w:val="22"/>
          <w:szCs w:val="22"/>
        </w:rPr>
        <w:t>M</w:t>
      </w:r>
      <w:r>
        <w:rPr>
          <w:sz w:val="22"/>
          <w:szCs w:val="22"/>
        </w:rPr>
        <w:t>anagement Plan)</w:t>
      </w:r>
    </w:p>
    <w:p w14:paraId="25C15BC9" w14:textId="77777777" w:rsidR="00D11CD4" w:rsidRDefault="00D11CD4" w:rsidP="00250873">
      <w:pPr>
        <w:spacing w:after="120" w:line="276" w:lineRule="auto"/>
        <w:rPr>
          <w:b/>
          <w:sz w:val="22"/>
          <w:szCs w:val="22"/>
        </w:rPr>
      </w:pPr>
    </w:p>
    <w:p w14:paraId="01620F3A" w14:textId="79BEBF64" w:rsidR="00BA46D8" w:rsidRPr="00250873" w:rsidRDefault="00BA46D8" w:rsidP="00250873">
      <w:pPr>
        <w:spacing w:after="120" w:line="276" w:lineRule="auto"/>
        <w:rPr>
          <w:b/>
          <w:sz w:val="22"/>
          <w:szCs w:val="22"/>
        </w:rPr>
      </w:pPr>
      <w:r w:rsidRPr="00BA46D8">
        <w:rPr>
          <w:rFonts w:ascii="Arial" w:hAnsi="Arial" w:cs="Arial"/>
          <w:b/>
          <w:bCs/>
          <w:sz w:val="22"/>
          <w:szCs w:val="22"/>
        </w:rPr>
        <w:t>Marine litter</w:t>
      </w:r>
    </w:p>
    <w:p w14:paraId="3AC26384" w14:textId="79F0E290" w:rsidR="00DF7318" w:rsidRDefault="00BA46D8" w:rsidP="00BA46D8">
      <w:pPr>
        <w:spacing w:line="276" w:lineRule="auto"/>
        <w:rPr>
          <w:sz w:val="22"/>
          <w:szCs w:val="22"/>
        </w:rPr>
      </w:pPr>
      <w:r>
        <w:rPr>
          <w:sz w:val="22"/>
          <w:szCs w:val="22"/>
        </w:rPr>
        <w:t>TG-M</w:t>
      </w:r>
      <w:r w:rsidRPr="00BA46D8">
        <w:rPr>
          <w:sz w:val="22"/>
          <w:szCs w:val="22"/>
        </w:rPr>
        <w:t xml:space="preserve"> </w:t>
      </w:r>
      <w:r w:rsidR="00AF0BDC">
        <w:rPr>
          <w:sz w:val="22"/>
          <w:szCs w:val="22"/>
        </w:rPr>
        <w:t>welcomed and</w:t>
      </w:r>
      <w:r w:rsidR="00AF0BDC" w:rsidRPr="00BA46D8">
        <w:rPr>
          <w:sz w:val="22"/>
          <w:szCs w:val="22"/>
        </w:rPr>
        <w:t xml:space="preserve"> </w:t>
      </w:r>
      <w:r w:rsidRPr="00BA46D8">
        <w:rPr>
          <w:sz w:val="22"/>
          <w:szCs w:val="22"/>
        </w:rPr>
        <w:t xml:space="preserve">agreed </w:t>
      </w:r>
      <w:r>
        <w:rPr>
          <w:sz w:val="22"/>
          <w:szCs w:val="22"/>
        </w:rPr>
        <w:t>that the Netherlands would</w:t>
      </w:r>
      <w:r w:rsidRPr="00BA46D8">
        <w:rPr>
          <w:sz w:val="22"/>
          <w:szCs w:val="22"/>
        </w:rPr>
        <w:t xml:space="preserve"> produce an inventory on activities on the prevention and removal of marine litter in the trilateral cooperation area for the next </w:t>
      </w:r>
      <w:r w:rsidRPr="00BA46D8">
        <w:rPr>
          <w:sz w:val="22"/>
          <w:szCs w:val="22"/>
        </w:rPr>
        <w:lastRenderedPageBreak/>
        <w:t xml:space="preserve">meeting </w:t>
      </w:r>
      <w:r>
        <w:rPr>
          <w:sz w:val="22"/>
          <w:szCs w:val="22"/>
        </w:rPr>
        <w:t>(TG-M 19-2, 8-9 October)</w:t>
      </w:r>
      <w:r w:rsidRPr="00BA46D8">
        <w:rPr>
          <w:sz w:val="22"/>
          <w:szCs w:val="22"/>
        </w:rPr>
        <w:t xml:space="preserve">. The survey from the preparation of the World Heritage and Marine Litter workshop would be </w:t>
      </w:r>
      <w:proofErr w:type="gramStart"/>
      <w:r w:rsidRPr="00BA46D8">
        <w:rPr>
          <w:sz w:val="22"/>
          <w:szCs w:val="22"/>
        </w:rPr>
        <w:t>taken into account</w:t>
      </w:r>
      <w:proofErr w:type="gramEnd"/>
      <w:r w:rsidRPr="00BA46D8">
        <w:rPr>
          <w:sz w:val="22"/>
          <w:szCs w:val="22"/>
        </w:rPr>
        <w:t>.</w:t>
      </w:r>
    </w:p>
    <w:p w14:paraId="31D082B6" w14:textId="27335E4E" w:rsidR="00BA46D8" w:rsidRDefault="00BA46D8" w:rsidP="00BA46D8">
      <w:pPr>
        <w:spacing w:line="276" w:lineRule="auto"/>
        <w:rPr>
          <w:sz w:val="22"/>
          <w:szCs w:val="22"/>
        </w:rPr>
      </w:pPr>
    </w:p>
    <w:p w14:paraId="694F0CE5" w14:textId="77777777" w:rsidR="00BA46D8" w:rsidRPr="00DF7318" w:rsidRDefault="00BA46D8" w:rsidP="00BA46D8">
      <w:pPr>
        <w:spacing w:after="120" w:line="276" w:lineRule="auto"/>
        <w:rPr>
          <w:b/>
          <w:sz w:val="22"/>
          <w:szCs w:val="22"/>
        </w:rPr>
      </w:pPr>
      <w:r w:rsidRPr="00DF7318">
        <w:rPr>
          <w:b/>
          <w:sz w:val="22"/>
          <w:szCs w:val="22"/>
        </w:rPr>
        <w:t>Proposal:</w:t>
      </w:r>
      <w:r w:rsidRPr="00DF7318">
        <w:rPr>
          <w:b/>
          <w:sz w:val="22"/>
          <w:szCs w:val="22"/>
        </w:rPr>
        <w:tab/>
        <w:t>WSB is invited to note the information.</w:t>
      </w:r>
    </w:p>
    <w:p w14:paraId="78B5962C" w14:textId="644E74C2" w:rsidR="00BA46D8" w:rsidRDefault="00BA46D8" w:rsidP="00BA46D8">
      <w:pPr>
        <w:spacing w:line="276" w:lineRule="auto"/>
        <w:rPr>
          <w:sz w:val="22"/>
          <w:szCs w:val="22"/>
        </w:rPr>
      </w:pPr>
    </w:p>
    <w:p w14:paraId="30E227D8" w14:textId="77777777" w:rsidR="00BA46D8" w:rsidRDefault="00BA46D8" w:rsidP="00BA46D8">
      <w:pPr>
        <w:spacing w:line="276" w:lineRule="auto"/>
        <w:rPr>
          <w:sz w:val="22"/>
          <w:szCs w:val="22"/>
        </w:rPr>
      </w:pPr>
    </w:p>
    <w:p w14:paraId="45ED9A2F" w14:textId="4018CB6B" w:rsidR="00BA46D8" w:rsidRPr="00BA46D8" w:rsidRDefault="00BA46D8" w:rsidP="00BA46D8">
      <w:pPr>
        <w:spacing w:after="240" w:line="276" w:lineRule="auto"/>
        <w:rPr>
          <w:rFonts w:ascii="Arial" w:hAnsi="Arial" w:cs="Arial"/>
          <w:b/>
          <w:bCs/>
          <w:sz w:val="22"/>
          <w:szCs w:val="22"/>
          <w:lang w:val="en-GB"/>
        </w:rPr>
      </w:pPr>
      <w:r w:rsidRPr="00BA46D8">
        <w:rPr>
          <w:rFonts w:ascii="Arial" w:hAnsi="Arial" w:cs="Arial"/>
          <w:b/>
          <w:bCs/>
          <w:sz w:val="22"/>
          <w:szCs w:val="22"/>
          <w:lang w:val="en-GB"/>
        </w:rPr>
        <w:t>Light Emissions</w:t>
      </w:r>
    </w:p>
    <w:p w14:paraId="1622CC95" w14:textId="5E9C9421" w:rsidR="00BA46D8" w:rsidRDefault="00BA46D8" w:rsidP="00BA46D8">
      <w:pPr>
        <w:spacing w:line="276" w:lineRule="auto"/>
        <w:rPr>
          <w:sz w:val="22"/>
          <w:szCs w:val="22"/>
          <w:lang w:val="en-GB"/>
        </w:rPr>
      </w:pPr>
      <w:r>
        <w:rPr>
          <w:sz w:val="22"/>
          <w:szCs w:val="22"/>
          <w:lang w:val="en-GB"/>
        </w:rPr>
        <w:t>TG-M</w:t>
      </w:r>
      <w:r w:rsidRPr="00BA46D8">
        <w:rPr>
          <w:sz w:val="22"/>
          <w:szCs w:val="22"/>
          <w:lang w:val="en-GB"/>
        </w:rPr>
        <w:t xml:space="preserve"> agreed that it would be useful to have an </w:t>
      </w:r>
      <w:r w:rsidR="00006743">
        <w:rPr>
          <w:sz w:val="22"/>
          <w:szCs w:val="22"/>
          <w:lang w:val="en-GB"/>
        </w:rPr>
        <w:t>overview</w:t>
      </w:r>
      <w:r w:rsidR="00006743" w:rsidRPr="00BA46D8">
        <w:rPr>
          <w:sz w:val="22"/>
          <w:szCs w:val="22"/>
          <w:lang w:val="en-GB"/>
        </w:rPr>
        <w:t xml:space="preserve"> </w:t>
      </w:r>
      <w:r w:rsidRPr="00BA46D8">
        <w:rPr>
          <w:sz w:val="22"/>
          <w:szCs w:val="22"/>
          <w:lang w:val="en-GB"/>
        </w:rPr>
        <w:t>on current and envisaged activities on the prevention of light emissions in the trilateral cooperation area</w:t>
      </w:r>
      <w:r>
        <w:rPr>
          <w:sz w:val="22"/>
          <w:szCs w:val="22"/>
          <w:lang w:val="en-GB"/>
        </w:rPr>
        <w:t>, but p</w:t>
      </w:r>
      <w:r w:rsidRPr="00BA46D8">
        <w:rPr>
          <w:sz w:val="22"/>
          <w:szCs w:val="22"/>
          <w:lang w:val="en-GB"/>
        </w:rPr>
        <w:t xml:space="preserve">articipants </w:t>
      </w:r>
      <w:r>
        <w:rPr>
          <w:sz w:val="22"/>
          <w:szCs w:val="22"/>
          <w:lang w:val="en-GB"/>
        </w:rPr>
        <w:t>decided</w:t>
      </w:r>
      <w:r w:rsidRPr="00BA46D8">
        <w:rPr>
          <w:sz w:val="22"/>
          <w:szCs w:val="22"/>
          <w:lang w:val="en-GB"/>
        </w:rPr>
        <w:t xml:space="preserve"> that this was not in the remit of TG-M. Therefore, it</w:t>
      </w:r>
      <w:r w:rsidR="00250873">
        <w:rPr>
          <w:sz w:val="22"/>
          <w:szCs w:val="22"/>
          <w:lang w:val="en-GB"/>
        </w:rPr>
        <w:t xml:space="preserve"> was considered to </w:t>
      </w:r>
      <w:r w:rsidR="00006743">
        <w:rPr>
          <w:sz w:val="22"/>
          <w:szCs w:val="22"/>
          <w:lang w:val="en-GB"/>
        </w:rPr>
        <w:t>encourage</w:t>
      </w:r>
      <w:r w:rsidR="00006743" w:rsidRPr="00BA46D8">
        <w:rPr>
          <w:sz w:val="22"/>
          <w:szCs w:val="22"/>
          <w:lang w:val="en-GB"/>
        </w:rPr>
        <w:t xml:space="preserve"> </w:t>
      </w:r>
      <w:r w:rsidR="00250873" w:rsidRPr="00BA46D8">
        <w:rPr>
          <w:sz w:val="22"/>
          <w:szCs w:val="22"/>
          <w:lang w:val="en-GB"/>
        </w:rPr>
        <w:t xml:space="preserve">the WSF </w:t>
      </w:r>
      <w:r w:rsidR="00250873">
        <w:rPr>
          <w:sz w:val="22"/>
          <w:szCs w:val="22"/>
          <w:lang w:val="en-GB"/>
        </w:rPr>
        <w:t>to</w:t>
      </w:r>
      <w:r w:rsidR="00250873" w:rsidRPr="00BA46D8">
        <w:rPr>
          <w:sz w:val="22"/>
          <w:szCs w:val="22"/>
          <w:lang w:val="en-GB"/>
        </w:rPr>
        <w:t xml:space="preserve"> </w:t>
      </w:r>
      <w:r w:rsidR="00006743">
        <w:rPr>
          <w:sz w:val="22"/>
          <w:szCs w:val="22"/>
          <w:lang w:val="en-GB"/>
        </w:rPr>
        <w:t>consider initiating a trilateral project on light emissions</w:t>
      </w:r>
      <w:r w:rsidRPr="00BA46D8">
        <w:rPr>
          <w:sz w:val="22"/>
          <w:szCs w:val="22"/>
          <w:lang w:val="en-GB"/>
        </w:rPr>
        <w:t>.</w:t>
      </w:r>
    </w:p>
    <w:p w14:paraId="21873F5C" w14:textId="5C96667D" w:rsidR="00BA46D8" w:rsidRDefault="00BA46D8" w:rsidP="00BA46D8">
      <w:pPr>
        <w:spacing w:line="276" w:lineRule="auto"/>
        <w:rPr>
          <w:sz w:val="22"/>
          <w:szCs w:val="22"/>
          <w:lang w:val="en-GB"/>
        </w:rPr>
      </w:pPr>
    </w:p>
    <w:p w14:paraId="7F810CD6" w14:textId="62823F04" w:rsidR="00BA46D8" w:rsidRPr="00DF7318" w:rsidRDefault="00BA46D8" w:rsidP="00BA46D8">
      <w:pPr>
        <w:spacing w:after="120" w:line="276" w:lineRule="auto"/>
        <w:rPr>
          <w:b/>
          <w:sz w:val="22"/>
          <w:szCs w:val="22"/>
        </w:rPr>
      </w:pPr>
      <w:r w:rsidRPr="00DF7318">
        <w:rPr>
          <w:b/>
          <w:sz w:val="22"/>
          <w:szCs w:val="22"/>
        </w:rPr>
        <w:t>Proposal:</w:t>
      </w:r>
      <w:r w:rsidRPr="00DF7318">
        <w:rPr>
          <w:b/>
          <w:sz w:val="22"/>
          <w:szCs w:val="22"/>
        </w:rPr>
        <w:tab/>
      </w:r>
      <w:r w:rsidRPr="00BA46D8">
        <w:rPr>
          <w:b/>
          <w:sz w:val="22"/>
          <w:szCs w:val="22"/>
        </w:rPr>
        <w:t xml:space="preserve">WSB is invited to </w:t>
      </w:r>
      <w:r w:rsidR="00006743">
        <w:rPr>
          <w:b/>
          <w:sz w:val="22"/>
          <w:szCs w:val="22"/>
        </w:rPr>
        <w:t xml:space="preserve">note </w:t>
      </w:r>
      <w:r w:rsidRPr="00BA46D8">
        <w:rPr>
          <w:b/>
          <w:sz w:val="22"/>
          <w:szCs w:val="22"/>
        </w:rPr>
        <w:t xml:space="preserve">the </w:t>
      </w:r>
      <w:proofErr w:type="gramStart"/>
      <w:r w:rsidR="00006743">
        <w:rPr>
          <w:b/>
          <w:sz w:val="22"/>
          <w:szCs w:val="22"/>
        </w:rPr>
        <w:t>current state of affairs</w:t>
      </w:r>
      <w:proofErr w:type="gramEnd"/>
      <w:r w:rsidRPr="00BA46D8">
        <w:rPr>
          <w:b/>
          <w:sz w:val="22"/>
          <w:szCs w:val="22"/>
        </w:rPr>
        <w:t>.</w:t>
      </w:r>
    </w:p>
    <w:p w14:paraId="10E6C0D9" w14:textId="77777777" w:rsidR="00BA46D8" w:rsidRPr="00BA46D8" w:rsidRDefault="00BA46D8" w:rsidP="00BA46D8">
      <w:pPr>
        <w:spacing w:line="276" w:lineRule="auto"/>
        <w:rPr>
          <w:sz w:val="22"/>
          <w:szCs w:val="22"/>
        </w:rPr>
      </w:pPr>
    </w:p>
    <w:p w14:paraId="49A68C80" w14:textId="5C382EFE" w:rsidR="00BA46D8" w:rsidRPr="004964B1" w:rsidRDefault="00BA46D8" w:rsidP="00BA46D8">
      <w:pPr>
        <w:spacing w:line="276" w:lineRule="auto"/>
        <w:rPr>
          <w:sz w:val="22"/>
          <w:szCs w:val="22"/>
        </w:rPr>
      </w:pPr>
    </w:p>
    <w:p w14:paraId="3D99F3FF" w14:textId="5E528DBB" w:rsidR="00BA46D8" w:rsidRPr="00BA46D8" w:rsidRDefault="00BA46D8" w:rsidP="00BA46D8">
      <w:pPr>
        <w:spacing w:line="276" w:lineRule="auto"/>
        <w:rPr>
          <w:rFonts w:ascii="Arial" w:hAnsi="Arial" w:cs="Arial"/>
          <w:b/>
          <w:bCs/>
          <w:sz w:val="22"/>
          <w:szCs w:val="22"/>
          <w:lang w:val="en-GB"/>
        </w:rPr>
      </w:pPr>
      <w:r w:rsidRPr="00BA46D8">
        <w:rPr>
          <w:rFonts w:ascii="Arial" w:hAnsi="Arial" w:cs="Arial"/>
          <w:b/>
          <w:bCs/>
          <w:sz w:val="22"/>
          <w:szCs w:val="22"/>
          <w:lang w:val="en-GB"/>
        </w:rPr>
        <w:t>Energy</w:t>
      </w:r>
    </w:p>
    <w:p w14:paraId="726FBF34" w14:textId="7643880A" w:rsidR="00BA46D8" w:rsidRDefault="00BA46D8" w:rsidP="00BA46D8">
      <w:pPr>
        <w:spacing w:before="240" w:line="276" w:lineRule="auto"/>
        <w:rPr>
          <w:sz w:val="22"/>
          <w:szCs w:val="22"/>
          <w:lang w:val="en-GB"/>
        </w:rPr>
      </w:pPr>
      <w:r w:rsidRPr="00BA46D8">
        <w:rPr>
          <w:sz w:val="22"/>
          <w:szCs w:val="22"/>
          <w:lang w:val="en-GB"/>
        </w:rPr>
        <w:t xml:space="preserve">The meeting </w:t>
      </w:r>
      <w:r w:rsidR="00834965">
        <w:rPr>
          <w:sz w:val="22"/>
          <w:szCs w:val="22"/>
          <w:lang w:val="en-GB"/>
        </w:rPr>
        <w:t>decided</w:t>
      </w:r>
      <w:r w:rsidRPr="00BA46D8">
        <w:rPr>
          <w:sz w:val="22"/>
          <w:szCs w:val="22"/>
          <w:lang w:val="en-GB"/>
        </w:rPr>
        <w:t xml:space="preserve"> that there was no </w:t>
      </w:r>
      <w:r w:rsidR="00006743">
        <w:rPr>
          <w:sz w:val="22"/>
          <w:szCs w:val="22"/>
          <w:lang w:val="en-GB"/>
        </w:rPr>
        <w:t>urgency</w:t>
      </w:r>
      <w:r w:rsidR="00006743" w:rsidRPr="00BA46D8">
        <w:rPr>
          <w:sz w:val="22"/>
          <w:szCs w:val="22"/>
          <w:lang w:val="en-GB"/>
        </w:rPr>
        <w:t xml:space="preserve"> </w:t>
      </w:r>
      <w:r w:rsidRPr="00BA46D8">
        <w:rPr>
          <w:sz w:val="22"/>
          <w:szCs w:val="22"/>
          <w:lang w:val="en-GB"/>
        </w:rPr>
        <w:t>for activit</w:t>
      </w:r>
      <w:r w:rsidR="00006743">
        <w:rPr>
          <w:sz w:val="22"/>
          <w:szCs w:val="22"/>
          <w:lang w:val="en-GB"/>
        </w:rPr>
        <w:t>ies</w:t>
      </w:r>
      <w:r w:rsidRPr="00BA46D8">
        <w:rPr>
          <w:sz w:val="22"/>
          <w:szCs w:val="22"/>
          <w:lang w:val="en-GB"/>
        </w:rPr>
        <w:t xml:space="preserve"> of TG-M in this year but considered to </w:t>
      </w:r>
      <w:r w:rsidR="00006743">
        <w:rPr>
          <w:sz w:val="22"/>
          <w:szCs w:val="22"/>
          <w:lang w:val="en-GB"/>
        </w:rPr>
        <w:t xml:space="preserve">take up the issue of evaluation and mitigation of environmental impacts caused by high voltage power cable connections from offshore windfarms to the coast </w:t>
      </w:r>
      <w:r w:rsidRPr="00BA46D8">
        <w:rPr>
          <w:sz w:val="22"/>
          <w:szCs w:val="22"/>
          <w:lang w:val="en-GB"/>
        </w:rPr>
        <w:t>in 2020.</w:t>
      </w:r>
    </w:p>
    <w:p w14:paraId="63775557" w14:textId="21983066" w:rsidR="00BA46D8" w:rsidRDefault="00BA46D8" w:rsidP="00BA46D8">
      <w:pPr>
        <w:spacing w:line="276" w:lineRule="auto"/>
        <w:rPr>
          <w:sz w:val="22"/>
          <w:szCs w:val="22"/>
          <w:lang w:val="en-GB"/>
        </w:rPr>
      </w:pPr>
    </w:p>
    <w:p w14:paraId="27F1EB75" w14:textId="77777777" w:rsidR="00BA46D8" w:rsidRPr="00DF7318" w:rsidRDefault="00BA46D8" w:rsidP="00BA46D8">
      <w:pPr>
        <w:spacing w:after="120" w:line="276" w:lineRule="auto"/>
        <w:rPr>
          <w:b/>
          <w:sz w:val="22"/>
          <w:szCs w:val="22"/>
        </w:rPr>
      </w:pPr>
      <w:r w:rsidRPr="00DF7318">
        <w:rPr>
          <w:b/>
          <w:sz w:val="22"/>
          <w:szCs w:val="22"/>
        </w:rPr>
        <w:t>Proposal:</w:t>
      </w:r>
      <w:r w:rsidRPr="00DF7318">
        <w:rPr>
          <w:b/>
          <w:sz w:val="22"/>
          <w:szCs w:val="22"/>
        </w:rPr>
        <w:tab/>
        <w:t>WSB is invited to note the information.</w:t>
      </w:r>
    </w:p>
    <w:p w14:paraId="66856EA0" w14:textId="77777777" w:rsidR="00BA46D8" w:rsidRPr="00BA46D8" w:rsidRDefault="00BA46D8" w:rsidP="00BA46D8">
      <w:pPr>
        <w:spacing w:line="276" w:lineRule="auto"/>
        <w:rPr>
          <w:sz w:val="22"/>
          <w:szCs w:val="22"/>
        </w:rPr>
      </w:pPr>
    </w:p>
    <w:p w14:paraId="4D4F9BB3" w14:textId="77777777" w:rsidR="00DF7318" w:rsidRPr="00DF7318" w:rsidRDefault="00DF7318" w:rsidP="00DF7318">
      <w:pPr>
        <w:spacing w:line="276" w:lineRule="auto"/>
        <w:rPr>
          <w:sz w:val="22"/>
          <w:szCs w:val="22"/>
        </w:rPr>
      </w:pPr>
    </w:p>
    <w:p w14:paraId="053C65AD" w14:textId="77777777" w:rsidR="00067A49" w:rsidRPr="00DF7318" w:rsidRDefault="00067A49" w:rsidP="00DF7318">
      <w:pPr>
        <w:spacing w:after="240" w:line="276" w:lineRule="auto"/>
        <w:rPr>
          <w:rFonts w:ascii="Arial" w:hAnsi="Arial" w:cs="Arial"/>
          <w:b/>
          <w:sz w:val="22"/>
          <w:szCs w:val="22"/>
        </w:rPr>
      </w:pPr>
      <w:r w:rsidRPr="00DF7318">
        <w:rPr>
          <w:rFonts w:ascii="Arial" w:hAnsi="Arial" w:cs="Arial"/>
          <w:b/>
          <w:sz w:val="22"/>
          <w:szCs w:val="22"/>
        </w:rPr>
        <w:t>Ports and shipping</w:t>
      </w:r>
    </w:p>
    <w:p w14:paraId="06A03309" w14:textId="17C6EC09" w:rsidR="00006743" w:rsidRDefault="00C02037" w:rsidP="00DF7318">
      <w:pPr>
        <w:spacing w:line="276" w:lineRule="auto"/>
        <w:rPr>
          <w:sz w:val="22"/>
          <w:szCs w:val="22"/>
        </w:rPr>
      </w:pPr>
      <w:r w:rsidRPr="00DF7318">
        <w:rPr>
          <w:sz w:val="22"/>
          <w:szCs w:val="22"/>
        </w:rPr>
        <w:t xml:space="preserve">In order to proceed with the agenda item after </w:t>
      </w:r>
      <w:r w:rsidR="00857399" w:rsidRPr="00DF7318">
        <w:rPr>
          <w:sz w:val="22"/>
          <w:szCs w:val="22"/>
        </w:rPr>
        <w:t>Governmental Conference in May 2018</w:t>
      </w:r>
      <w:r w:rsidR="00DF7318">
        <w:rPr>
          <w:sz w:val="22"/>
          <w:szCs w:val="22"/>
        </w:rPr>
        <w:t>,</w:t>
      </w:r>
      <w:r w:rsidRPr="00DF7318">
        <w:rPr>
          <w:sz w:val="22"/>
          <w:szCs w:val="22"/>
        </w:rPr>
        <w:t xml:space="preserve"> TG-M</w:t>
      </w:r>
      <w:r w:rsidR="00857399" w:rsidRPr="00DF7318">
        <w:rPr>
          <w:sz w:val="22"/>
          <w:szCs w:val="22"/>
        </w:rPr>
        <w:t xml:space="preserve"> suggested the following </w:t>
      </w:r>
      <w:r w:rsidRPr="00DF7318">
        <w:rPr>
          <w:sz w:val="22"/>
          <w:szCs w:val="22"/>
        </w:rPr>
        <w:t>options</w:t>
      </w:r>
      <w:r w:rsidR="00857399" w:rsidRPr="00DF7318">
        <w:rPr>
          <w:sz w:val="22"/>
          <w:szCs w:val="22"/>
        </w:rPr>
        <w:t xml:space="preserve">: </w:t>
      </w:r>
    </w:p>
    <w:p w14:paraId="38669F43" w14:textId="4559C73F" w:rsidR="00006743" w:rsidRDefault="00857399" w:rsidP="00DF7318">
      <w:pPr>
        <w:spacing w:line="276" w:lineRule="auto"/>
        <w:rPr>
          <w:sz w:val="22"/>
          <w:szCs w:val="22"/>
        </w:rPr>
      </w:pPr>
      <w:r w:rsidRPr="00DF7318">
        <w:rPr>
          <w:sz w:val="22"/>
          <w:szCs w:val="22"/>
        </w:rPr>
        <w:t xml:space="preserve">a) conduct an analysis of the recommendations from the MARAD group in 2017; </w:t>
      </w:r>
    </w:p>
    <w:p w14:paraId="2B2D8108" w14:textId="7688E806" w:rsidR="00006743" w:rsidRDefault="00857399" w:rsidP="00DF7318">
      <w:pPr>
        <w:spacing w:line="276" w:lineRule="auto"/>
        <w:rPr>
          <w:sz w:val="22"/>
          <w:szCs w:val="22"/>
        </w:rPr>
      </w:pPr>
      <w:r w:rsidRPr="00DF7318">
        <w:rPr>
          <w:sz w:val="22"/>
          <w:szCs w:val="22"/>
        </w:rPr>
        <w:t xml:space="preserve">b) learn and follow up from the MS Zoe incident and </w:t>
      </w:r>
    </w:p>
    <w:p w14:paraId="05580E7D" w14:textId="39353841" w:rsidR="00006743" w:rsidRDefault="00857399" w:rsidP="00DF7318">
      <w:pPr>
        <w:spacing w:line="276" w:lineRule="auto"/>
        <w:rPr>
          <w:sz w:val="22"/>
          <w:szCs w:val="22"/>
        </w:rPr>
      </w:pPr>
      <w:r w:rsidRPr="00DF7318">
        <w:rPr>
          <w:sz w:val="22"/>
          <w:szCs w:val="22"/>
        </w:rPr>
        <w:t>c) mak</w:t>
      </w:r>
      <w:r w:rsidR="00006743">
        <w:rPr>
          <w:sz w:val="22"/>
          <w:szCs w:val="22"/>
        </w:rPr>
        <w:t>e</w:t>
      </w:r>
      <w:r w:rsidRPr="00DF7318">
        <w:rPr>
          <w:sz w:val="22"/>
          <w:szCs w:val="22"/>
        </w:rPr>
        <w:t xml:space="preserve"> use of the PSSA </w:t>
      </w:r>
      <w:r w:rsidR="00006743">
        <w:rPr>
          <w:sz w:val="22"/>
          <w:szCs w:val="22"/>
        </w:rPr>
        <w:t xml:space="preserve">designation </w:t>
      </w:r>
      <w:r w:rsidRPr="00DF7318">
        <w:rPr>
          <w:sz w:val="22"/>
          <w:szCs w:val="22"/>
        </w:rPr>
        <w:t xml:space="preserve">as a major </w:t>
      </w:r>
      <w:r w:rsidR="00006743">
        <w:rPr>
          <w:sz w:val="22"/>
          <w:szCs w:val="22"/>
        </w:rPr>
        <w:t xml:space="preserve">framework </w:t>
      </w:r>
      <w:r w:rsidRPr="00DF7318">
        <w:rPr>
          <w:sz w:val="22"/>
          <w:szCs w:val="22"/>
        </w:rPr>
        <w:t>for future action.</w:t>
      </w:r>
      <w:r w:rsidR="00C02037" w:rsidRPr="00DF7318">
        <w:rPr>
          <w:sz w:val="22"/>
          <w:szCs w:val="22"/>
        </w:rPr>
        <w:t xml:space="preserve"> </w:t>
      </w:r>
    </w:p>
    <w:p w14:paraId="07A9E7E0" w14:textId="79B7CBAF" w:rsidR="00857399" w:rsidRPr="00DF7318" w:rsidRDefault="00C02037" w:rsidP="00DF7318">
      <w:pPr>
        <w:spacing w:line="276" w:lineRule="auto"/>
        <w:rPr>
          <w:sz w:val="22"/>
          <w:szCs w:val="22"/>
        </w:rPr>
      </w:pPr>
      <w:r w:rsidRPr="00DF7318">
        <w:rPr>
          <w:sz w:val="22"/>
          <w:szCs w:val="22"/>
        </w:rPr>
        <w:t xml:space="preserve">TG-M </w:t>
      </w:r>
      <w:r w:rsidRPr="00DF7318">
        <w:rPr>
          <w:b/>
          <w:bCs/>
          <w:sz w:val="22"/>
          <w:szCs w:val="22"/>
        </w:rPr>
        <w:t>agreed</w:t>
      </w:r>
      <w:r w:rsidRPr="00DF7318">
        <w:rPr>
          <w:sz w:val="22"/>
          <w:szCs w:val="22"/>
        </w:rPr>
        <w:t xml:space="preserve"> that the Netherlands would </w:t>
      </w:r>
      <w:r w:rsidR="00006743">
        <w:rPr>
          <w:sz w:val="22"/>
          <w:szCs w:val="22"/>
        </w:rPr>
        <w:t xml:space="preserve">take the </w:t>
      </w:r>
      <w:r w:rsidRPr="00DF7318">
        <w:rPr>
          <w:sz w:val="22"/>
          <w:szCs w:val="22"/>
        </w:rPr>
        <w:t xml:space="preserve">lead </w:t>
      </w:r>
      <w:r w:rsidR="00006743">
        <w:rPr>
          <w:sz w:val="22"/>
          <w:szCs w:val="22"/>
        </w:rPr>
        <w:t xml:space="preserve">in drafting </w:t>
      </w:r>
      <w:r w:rsidRPr="00DF7318">
        <w:rPr>
          <w:sz w:val="22"/>
          <w:szCs w:val="22"/>
        </w:rPr>
        <w:t xml:space="preserve">a discussion paper for </w:t>
      </w:r>
      <w:r w:rsidR="00006743">
        <w:rPr>
          <w:sz w:val="22"/>
          <w:szCs w:val="22"/>
        </w:rPr>
        <w:t xml:space="preserve">the </w:t>
      </w:r>
      <w:r w:rsidRPr="00DF7318">
        <w:rPr>
          <w:sz w:val="22"/>
          <w:szCs w:val="22"/>
        </w:rPr>
        <w:t xml:space="preserve">WSB, which would also propose on how to include the </w:t>
      </w:r>
      <w:r w:rsidR="00857399" w:rsidRPr="00DF7318">
        <w:rPr>
          <w:sz w:val="22"/>
          <w:szCs w:val="22"/>
        </w:rPr>
        <w:t xml:space="preserve">reports from recent </w:t>
      </w:r>
      <w:r w:rsidRPr="00DF7318">
        <w:rPr>
          <w:sz w:val="22"/>
          <w:szCs w:val="22"/>
        </w:rPr>
        <w:t xml:space="preserve">shipping incidents (e.g. MS Zoe) </w:t>
      </w:r>
      <w:r w:rsidR="00857399" w:rsidRPr="00DF7318">
        <w:rPr>
          <w:sz w:val="22"/>
          <w:szCs w:val="22"/>
        </w:rPr>
        <w:t>once available</w:t>
      </w:r>
      <w:r w:rsidRPr="00DF7318">
        <w:rPr>
          <w:sz w:val="22"/>
          <w:szCs w:val="22"/>
        </w:rPr>
        <w:t xml:space="preserve"> and to continue the </w:t>
      </w:r>
      <w:r w:rsidR="00834965">
        <w:rPr>
          <w:sz w:val="22"/>
          <w:szCs w:val="22"/>
        </w:rPr>
        <w:t>dialogue</w:t>
      </w:r>
      <w:r w:rsidRPr="00DF7318">
        <w:rPr>
          <w:sz w:val="22"/>
          <w:szCs w:val="22"/>
        </w:rPr>
        <w:t xml:space="preserve"> with the sector</w:t>
      </w:r>
      <w:r w:rsidR="00EB1C73">
        <w:rPr>
          <w:sz w:val="22"/>
          <w:szCs w:val="22"/>
        </w:rPr>
        <w:t xml:space="preserve"> (WSB 29/5.5/1)</w:t>
      </w:r>
      <w:r w:rsidR="00857399" w:rsidRPr="00DF7318">
        <w:rPr>
          <w:sz w:val="22"/>
          <w:szCs w:val="22"/>
        </w:rPr>
        <w:t xml:space="preserve">. The combined information could be submitted to the </w:t>
      </w:r>
      <w:r w:rsidR="00027A67">
        <w:rPr>
          <w:sz w:val="22"/>
          <w:szCs w:val="22"/>
        </w:rPr>
        <w:t>Wadden Sea Team</w:t>
      </w:r>
      <w:r w:rsidR="00857399" w:rsidRPr="00DF7318">
        <w:rPr>
          <w:sz w:val="22"/>
          <w:szCs w:val="22"/>
        </w:rPr>
        <w:t xml:space="preserve"> and WSF for consideration</w:t>
      </w:r>
      <w:r w:rsidRPr="00DF7318">
        <w:rPr>
          <w:sz w:val="22"/>
          <w:szCs w:val="22"/>
        </w:rPr>
        <w:t xml:space="preserve"> </w:t>
      </w:r>
      <w:r w:rsidR="00DF7318">
        <w:rPr>
          <w:sz w:val="22"/>
          <w:szCs w:val="22"/>
        </w:rPr>
        <w:t xml:space="preserve">in order to be able to </w:t>
      </w:r>
      <w:r w:rsidRPr="00DF7318">
        <w:rPr>
          <w:sz w:val="22"/>
          <w:szCs w:val="22"/>
        </w:rPr>
        <w:t>prepare a</w:t>
      </w:r>
      <w:r w:rsidR="00857399" w:rsidRPr="00DF7318">
        <w:rPr>
          <w:sz w:val="22"/>
          <w:szCs w:val="22"/>
        </w:rPr>
        <w:t xml:space="preserve"> </w:t>
      </w:r>
      <w:r w:rsidR="00F37508">
        <w:rPr>
          <w:sz w:val="22"/>
          <w:szCs w:val="22"/>
        </w:rPr>
        <w:t xml:space="preserve">common </w:t>
      </w:r>
      <w:r w:rsidR="00857399" w:rsidRPr="00DF7318">
        <w:rPr>
          <w:sz w:val="22"/>
          <w:szCs w:val="22"/>
        </w:rPr>
        <w:t xml:space="preserve">document for </w:t>
      </w:r>
      <w:r w:rsidR="00006743">
        <w:rPr>
          <w:sz w:val="22"/>
          <w:szCs w:val="22"/>
        </w:rPr>
        <w:t xml:space="preserve">the subsequent </w:t>
      </w:r>
      <w:r w:rsidR="00857399" w:rsidRPr="00DF7318">
        <w:rPr>
          <w:sz w:val="22"/>
          <w:szCs w:val="22"/>
        </w:rPr>
        <w:t xml:space="preserve">WSB. </w:t>
      </w:r>
    </w:p>
    <w:p w14:paraId="791560C1" w14:textId="26147992" w:rsidR="00067A49" w:rsidRPr="00DF7318" w:rsidRDefault="00C02037" w:rsidP="00DF7318">
      <w:pPr>
        <w:spacing w:line="276" w:lineRule="auto"/>
        <w:rPr>
          <w:sz w:val="22"/>
          <w:szCs w:val="22"/>
        </w:rPr>
      </w:pPr>
      <w:r w:rsidRPr="00DF7318">
        <w:rPr>
          <w:sz w:val="22"/>
          <w:szCs w:val="22"/>
        </w:rPr>
        <w:t xml:space="preserve">Furthermore, TG-M raised concern </w:t>
      </w:r>
      <w:r w:rsidR="00006743">
        <w:rPr>
          <w:sz w:val="22"/>
          <w:szCs w:val="22"/>
        </w:rPr>
        <w:t xml:space="preserve">about </w:t>
      </w:r>
      <w:r w:rsidRPr="00DF7318">
        <w:rPr>
          <w:sz w:val="22"/>
          <w:szCs w:val="22"/>
        </w:rPr>
        <w:t xml:space="preserve">the </w:t>
      </w:r>
      <w:r w:rsidR="00006743">
        <w:rPr>
          <w:sz w:val="22"/>
          <w:szCs w:val="22"/>
        </w:rPr>
        <w:t xml:space="preserve">current and </w:t>
      </w:r>
      <w:r w:rsidRPr="00DF7318">
        <w:rPr>
          <w:sz w:val="22"/>
          <w:szCs w:val="22"/>
        </w:rPr>
        <w:t>future role of the</w:t>
      </w:r>
      <w:r w:rsidR="00857399" w:rsidRPr="00DF7318">
        <w:rPr>
          <w:sz w:val="22"/>
          <w:szCs w:val="22"/>
        </w:rPr>
        <w:t xml:space="preserve"> of the </w:t>
      </w:r>
      <w:r w:rsidR="00006743">
        <w:rPr>
          <w:sz w:val="22"/>
          <w:szCs w:val="22"/>
        </w:rPr>
        <w:t>DENGERNETH</w:t>
      </w:r>
      <w:r w:rsidR="004964B1">
        <w:rPr>
          <w:sz w:val="22"/>
          <w:szCs w:val="22"/>
        </w:rPr>
        <w:t>/</w:t>
      </w:r>
      <w:r w:rsidR="00857399" w:rsidRPr="00DF7318">
        <w:rPr>
          <w:sz w:val="22"/>
          <w:szCs w:val="22"/>
        </w:rPr>
        <w:t>MARAD group</w:t>
      </w:r>
      <w:r w:rsidR="002C516F" w:rsidRPr="00DF7318">
        <w:rPr>
          <w:sz w:val="22"/>
          <w:szCs w:val="22"/>
        </w:rPr>
        <w:t xml:space="preserve"> </w:t>
      </w:r>
      <w:r w:rsidR="005F1E23">
        <w:rPr>
          <w:sz w:val="22"/>
          <w:szCs w:val="22"/>
        </w:rPr>
        <w:t xml:space="preserve">and revitalize and </w:t>
      </w:r>
      <w:r w:rsidR="00960041">
        <w:rPr>
          <w:sz w:val="22"/>
          <w:szCs w:val="22"/>
        </w:rPr>
        <w:t>stimulate</w:t>
      </w:r>
      <w:r w:rsidR="00027A67">
        <w:rPr>
          <w:sz w:val="22"/>
          <w:szCs w:val="22"/>
        </w:rPr>
        <w:t xml:space="preserve"> the </w:t>
      </w:r>
      <w:r w:rsidR="00960041">
        <w:rPr>
          <w:sz w:val="22"/>
          <w:szCs w:val="22"/>
        </w:rPr>
        <w:t>commitmen</w:t>
      </w:r>
      <w:r w:rsidR="00027A67">
        <w:rPr>
          <w:sz w:val="22"/>
          <w:szCs w:val="22"/>
        </w:rPr>
        <w:t xml:space="preserve">t of the group </w:t>
      </w:r>
      <w:r w:rsidR="00960041">
        <w:rPr>
          <w:sz w:val="22"/>
          <w:szCs w:val="22"/>
        </w:rPr>
        <w:t>regarding shipping</w:t>
      </w:r>
      <w:r w:rsidR="00027A67">
        <w:rPr>
          <w:sz w:val="22"/>
          <w:szCs w:val="22"/>
        </w:rPr>
        <w:t xml:space="preserve"> issues in the Wadden Sea area.</w:t>
      </w:r>
    </w:p>
    <w:p w14:paraId="6DF233FD" w14:textId="77777777" w:rsidR="00067A49" w:rsidRPr="00DF7318" w:rsidRDefault="00067A49" w:rsidP="00DF7318">
      <w:pPr>
        <w:spacing w:line="276" w:lineRule="auto"/>
        <w:rPr>
          <w:sz w:val="22"/>
          <w:szCs w:val="22"/>
        </w:rPr>
      </w:pPr>
    </w:p>
    <w:p w14:paraId="398509A6" w14:textId="109D4B32" w:rsidR="00067A49" w:rsidRPr="00DF7318" w:rsidRDefault="00067A49" w:rsidP="00DF7318">
      <w:pPr>
        <w:spacing w:line="276" w:lineRule="auto"/>
        <w:rPr>
          <w:b/>
          <w:sz w:val="22"/>
          <w:szCs w:val="22"/>
        </w:rPr>
      </w:pPr>
      <w:r w:rsidRPr="00DF7318">
        <w:rPr>
          <w:b/>
          <w:sz w:val="22"/>
          <w:szCs w:val="22"/>
        </w:rPr>
        <w:t>Proposal:</w:t>
      </w:r>
      <w:r w:rsidRPr="00DF7318">
        <w:rPr>
          <w:b/>
          <w:sz w:val="22"/>
          <w:szCs w:val="22"/>
        </w:rPr>
        <w:tab/>
        <w:t>WSB is invited to endorse the approach.</w:t>
      </w:r>
    </w:p>
    <w:p w14:paraId="01DC1903" w14:textId="3A6A4B1F" w:rsidR="007F6DA6" w:rsidRDefault="007F6DA6" w:rsidP="00DF7318">
      <w:pPr>
        <w:spacing w:line="276" w:lineRule="auto"/>
        <w:rPr>
          <w:rFonts w:ascii="Arial" w:hAnsi="Arial" w:cs="Arial"/>
          <w:b/>
          <w:sz w:val="22"/>
          <w:szCs w:val="22"/>
        </w:rPr>
      </w:pPr>
    </w:p>
    <w:p w14:paraId="1AD0BEB4" w14:textId="279FF08D" w:rsidR="00BA46D8" w:rsidRDefault="00BA46D8" w:rsidP="00DF7318">
      <w:pPr>
        <w:spacing w:line="276" w:lineRule="auto"/>
        <w:rPr>
          <w:rFonts w:ascii="Arial" w:hAnsi="Arial" w:cs="Arial"/>
          <w:b/>
          <w:sz w:val="22"/>
          <w:szCs w:val="22"/>
        </w:rPr>
      </w:pPr>
    </w:p>
    <w:p w14:paraId="507D61D3" w14:textId="77777777" w:rsidR="004964B1" w:rsidRDefault="004964B1" w:rsidP="00BA46D8">
      <w:pPr>
        <w:spacing w:after="240" w:line="276" w:lineRule="auto"/>
        <w:rPr>
          <w:rFonts w:ascii="Arial" w:hAnsi="Arial" w:cs="Arial"/>
          <w:b/>
          <w:sz w:val="22"/>
          <w:szCs w:val="22"/>
        </w:rPr>
      </w:pPr>
    </w:p>
    <w:p w14:paraId="383761FA" w14:textId="04050AD6" w:rsidR="00BA46D8" w:rsidRPr="00BA46D8" w:rsidRDefault="00BA46D8" w:rsidP="00BA46D8">
      <w:pPr>
        <w:spacing w:after="240" w:line="276" w:lineRule="auto"/>
        <w:rPr>
          <w:rFonts w:ascii="Arial" w:hAnsi="Arial" w:cs="Arial"/>
          <w:b/>
          <w:sz w:val="22"/>
          <w:szCs w:val="22"/>
        </w:rPr>
      </w:pPr>
      <w:r w:rsidRPr="00BA46D8">
        <w:rPr>
          <w:rFonts w:ascii="Arial" w:hAnsi="Arial" w:cs="Arial"/>
          <w:b/>
          <w:sz w:val="22"/>
          <w:szCs w:val="22"/>
        </w:rPr>
        <w:lastRenderedPageBreak/>
        <w:t xml:space="preserve">Trilateral Research Agenda </w:t>
      </w:r>
    </w:p>
    <w:p w14:paraId="1499D2FB" w14:textId="34D47729" w:rsidR="00BC6152" w:rsidRDefault="00BA46D8" w:rsidP="00BA46D8">
      <w:pPr>
        <w:spacing w:line="276" w:lineRule="auto"/>
        <w:rPr>
          <w:bCs/>
          <w:sz w:val="22"/>
          <w:szCs w:val="22"/>
        </w:rPr>
      </w:pPr>
      <w:r>
        <w:rPr>
          <w:bCs/>
          <w:sz w:val="22"/>
          <w:szCs w:val="22"/>
        </w:rPr>
        <w:t>TG-M was informed on</w:t>
      </w:r>
      <w:r w:rsidRPr="00BA46D8">
        <w:rPr>
          <w:bCs/>
          <w:sz w:val="22"/>
          <w:szCs w:val="22"/>
        </w:rPr>
        <w:t xml:space="preserve"> the dialogue process with potential partners of the future Partnership</w:t>
      </w:r>
      <w:r>
        <w:rPr>
          <w:bCs/>
          <w:sz w:val="22"/>
          <w:szCs w:val="22"/>
        </w:rPr>
        <w:t xml:space="preserve"> Hub.</w:t>
      </w:r>
      <w:r w:rsidRPr="00BA46D8">
        <w:rPr>
          <w:bCs/>
          <w:sz w:val="22"/>
          <w:szCs w:val="22"/>
        </w:rPr>
        <w:t xml:space="preserve"> </w:t>
      </w:r>
      <w:r>
        <w:rPr>
          <w:bCs/>
          <w:sz w:val="22"/>
          <w:szCs w:val="22"/>
        </w:rPr>
        <w:t>A</w:t>
      </w:r>
      <w:r w:rsidRPr="00BA46D8">
        <w:rPr>
          <w:bCs/>
          <w:sz w:val="22"/>
          <w:szCs w:val="22"/>
        </w:rPr>
        <w:t xml:space="preserve"> discussion between OPteamPH </w:t>
      </w:r>
      <w:r>
        <w:rPr>
          <w:bCs/>
          <w:sz w:val="22"/>
          <w:szCs w:val="22"/>
        </w:rPr>
        <w:t>and</w:t>
      </w:r>
      <w:r w:rsidRPr="00BA46D8">
        <w:rPr>
          <w:bCs/>
          <w:sz w:val="22"/>
          <w:szCs w:val="22"/>
        </w:rPr>
        <w:t xml:space="preserve"> members of the scientific community was held on the 03 April 2019 in Hamburg</w:t>
      </w:r>
      <w:r w:rsidR="005F1E23">
        <w:rPr>
          <w:bCs/>
          <w:sz w:val="22"/>
          <w:szCs w:val="22"/>
        </w:rPr>
        <w:t xml:space="preserve">, see progress Report of OPteamPH to WSB 29 </w:t>
      </w:r>
      <w:r w:rsidR="004964B1">
        <w:rPr>
          <w:bCs/>
          <w:sz w:val="22"/>
          <w:szCs w:val="22"/>
        </w:rPr>
        <w:t>(</w:t>
      </w:r>
      <w:r w:rsidR="004964B1" w:rsidRPr="004964B1">
        <w:rPr>
          <w:bCs/>
          <w:sz w:val="22"/>
          <w:szCs w:val="22"/>
        </w:rPr>
        <w:t>WSB 29/5.11/1</w:t>
      </w:r>
      <w:r w:rsidR="004964B1">
        <w:rPr>
          <w:bCs/>
          <w:sz w:val="22"/>
          <w:szCs w:val="22"/>
        </w:rPr>
        <w:t>)</w:t>
      </w:r>
      <w:r w:rsidRPr="00BA46D8">
        <w:rPr>
          <w:bCs/>
          <w:sz w:val="22"/>
          <w:szCs w:val="22"/>
        </w:rPr>
        <w:t xml:space="preserve">. </w:t>
      </w:r>
      <w:r>
        <w:rPr>
          <w:bCs/>
          <w:sz w:val="22"/>
          <w:szCs w:val="22"/>
        </w:rPr>
        <w:t xml:space="preserve">TG-M took note of the information and would continue to follow the process and to </w:t>
      </w:r>
      <w:r w:rsidR="00D2116D">
        <w:rPr>
          <w:bCs/>
          <w:sz w:val="22"/>
          <w:szCs w:val="22"/>
        </w:rPr>
        <w:t>support when</w:t>
      </w:r>
      <w:r>
        <w:rPr>
          <w:bCs/>
          <w:sz w:val="22"/>
          <w:szCs w:val="22"/>
        </w:rPr>
        <w:t xml:space="preserve"> necessary.</w:t>
      </w:r>
    </w:p>
    <w:p w14:paraId="0D9E20AF" w14:textId="065883D6" w:rsidR="00BA46D8" w:rsidRDefault="00BA46D8" w:rsidP="00BA46D8">
      <w:pPr>
        <w:spacing w:line="276" w:lineRule="auto"/>
        <w:rPr>
          <w:bCs/>
          <w:sz w:val="22"/>
          <w:szCs w:val="22"/>
        </w:rPr>
      </w:pPr>
    </w:p>
    <w:p w14:paraId="335C0488" w14:textId="77777777" w:rsidR="00BA46D8" w:rsidRPr="00DF7318" w:rsidRDefault="00BA46D8" w:rsidP="00BA46D8">
      <w:pPr>
        <w:spacing w:line="276" w:lineRule="auto"/>
        <w:rPr>
          <w:b/>
          <w:sz w:val="22"/>
          <w:szCs w:val="22"/>
        </w:rPr>
      </w:pPr>
      <w:r w:rsidRPr="00DF7318">
        <w:rPr>
          <w:b/>
          <w:sz w:val="22"/>
          <w:szCs w:val="22"/>
        </w:rPr>
        <w:t>Proposal:</w:t>
      </w:r>
      <w:r w:rsidRPr="00DF7318">
        <w:rPr>
          <w:b/>
          <w:sz w:val="22"/>
          <w:szCs w:val="22"/>
        </w:rPr>
        <w:tab/>
        <w:t>WSB is invited to note the information.</w:t>
      </w:r>
    </w:p>
    <w:p w14:paraId="0CC66D4E" w14:textId="6C269BE9" w:rsidR="00BA46D8" w:rsidRDefault="00BA46D8" w:rsidP="00BA46D8">
      <w:pPr>
        <w:spacing w:line="276" w:lineRule="auto"/>
        <w:rPr>
          <w:bCs/>
          <w:sz w:val="22"/>
          <w:szCs w:val="22"/>
        </w:rPr>
      </w:pPr>
    </w:p>
    <w:p w14:paraId="203836ED" w14:textId="77777777" w:rsidR="00BA46D8" w:rsidRPr="00BA46D8" w:rsidRDefault="00BA46D8" w:rsidP="00BA46D8">
      <w:pPr>
        <w:spacing w:line="276" w:lineRule="auto"/>
        <w:rPr>
          <w:bCs/>
          <w:sz w:val="22"/>
          <w:szCs w:val="22"/>
        </w:rPr>
      </w:pPr>
    </w:p>
    <w:p w14:paraId="509038DF" w14:textId="32946464" w:rsidR="00067A49" w:rsidRPr="00BA46D8" w:rsidRDefault="00067A49" w:rsidP="00DF7318">
      <w:pPr>
        <w:spacing w:after="240" w:line="276" w:lineRule="auto"/>
        <w:rPr>
          <w:rFonts w:ascii="Arial" w:hAnsi="Arial" w:cs="Arial"/>
          <w:b/>
          <w:sz w:val="22"/>
          <w:szCs w:val="22"/>
        </w:rPr>
      </w:pPr>
      <w:r w:rsidRPr="00BA46D8">
        <w:rPr>
          <w:rFonts w:ascii="Arial" w:hAnsi="Arial" w:cs="Arial"/>
          <w:b/>
          <w:sz w:val="22"/>
          <w:szCs w:val="22"/>
        </w:rPr>
        <w:t>N2000 Roof Report</w:t>
      </w:r>
    </w:p>
    <w:p w14:paraId="37CCCE29" w14:textId="4D91F1D4" w:rsidR="003230DF" w:rsidRPr="00DF7318" w:rsidRDefault="003230DF" w:rsidP="00DF7318">
      <w:pPr>
        <w:spacing w:line="276" w:lineRule="auto"/>
        <w:rPr>
          <w:sz w:val="22"/>
          <w:szCs w:val="22"/>
        </w:rPr>
      </w:pPr>
      <w:r w:rsidRPr="00DF7318">
        <w:rPr>
          <w:sz w:val="22"/>
          <w:szCs w:val="22"/>
        </w:rPr>
        <w:t xml:space="preserve">Aarhus DCE would still consider the development of the N2000 Roof Report pre-analysis and, if appropriate, the final report. CWSS and the chairperson </w:t>
      </w:r>
      <w:r w:rsidR="007F6DA6" w:rsidRPr="00DF7318">
        <w:rPr>
          <w:sz w:val="22"/>
          <w:szCs w:val="22"/>
        </w:rPr>
        <w:t xml:space="preserve">of </w:t>
      </w:r>
      <w:r w:rsidRPr="00DF7318">
        <w:rPr>
          <w:sz w:val="22"/>
          <w:szCs w:val="22"/>
        </w:rPr>
        <w:t>TG-M, Mr Jørgensen, w</w:t>
      </w:r>
      <w:r w:rsidR="00DF7318">
        <w:rPr>
          <w:sz w:val="22"/>
          <w:szCs w:val="22"/>
        </w:rPr>
        <w:t xml:space="preserve">ould </w:t>
      </w:r>
      <w:r w:rsidRPr="00DF7318">
        <w:rPr>
          <w:sz w:val="22"/>
          <w:szCs w:val="22"/>
        </w:rPr>
        <w:t xml:space="preserve">discuss the issue with </w:t>
      </w:r>
      <w:r w:rsidR="00D20304">
        <w:rPr>
          <w:sz w:val="22"/>
          <w:szCs w:val="22"/>
        </w:rPr>
        <w:t xml:space="preserve">a representative of </w:t>
      </w:r>
      <w:r w:rsidRPr="00DF7318">
        <w:rPr>
          <w:sz w:val="22"/>
          <w:szCs w:val="22"/>
        </w:rPr>
        <w:t>Aarhus DCE</w:t>
      </w:r>
      <w:r w:rsidR="00D20304">
        <w:rPr>
          <w:sz w:val="22"/>
          <w:szCs w:val="22"/>
        </w:rPr>
        <w:t xml:space="preserve">, Mr Jesper </w:t>
      </w:r>
      <w:r w:rsidR="00D20304" w:rsidRPr="005F388D">
        <w:rPr>
          <w:sz w:val="22"/>
          <w:szCs w:val="22"/>
          <w:lang w:val="en-GB"/>
        </w:rPr>
        <w:t>Fredshavn</w:t>
      </w:r>
      <w:r w:rsidR="00D20304">
        <w:rPr>
          <w:sz w:val="22"/>
          <w:szCs w:val="22"/>
          <w:lang w:val="en-GB"/>
        </w:rPr>
        <w:t>,</w:t>
      </w:r>
      <w:r w:rsidRPr="00DF7318">
        <w:rPr>
          <w:sz w:val="22"/>
          <w:szCs w:val="22"/>
        </w:rPr>
        <w:t xml:space="preserve"> </w:t>
      </w:r>
      <w:r w:rsidR="00834965">
        <w:rPr>
          <w:sz w:val="22"/>
          <w:szCs w:val="22"/>
        </w:rPr>
        <w:t>within the scope</w:t>
      </w:r>
      <w:r w:rsidRPr="00DF7318">
        <w:rPr>
          <w:sz w:val="22"/>
          <w:szCs w:val="22"/>
        </w:rPr>
        <w:t xml:space="preserve"> of TG-MA 19-1 on 6-7 June 2019 in Tönning, Germany.</w:t>
      </w:r>
    </w:p>
    <w:p w14:paraId="3267D03B" w14:textId="77777777" w:rsidR="003230DF" w:rsidRPr="00DF7318" w:rsidRDefault="003230DF" w:rsidP="00DF7318">
      <w:pPr>
        <w:spacing w:line="276" w:lineRule="auto"/>
        <w:rPr>
          <w:sz w:val="22"/>
          <w:szCs w:val="22"/>
        </w:rPr>
      </w:pPr>
    </w:p>
    <w:p w14:paraId="3DEC9945" w14:textId="0CF8B919" w:rsidR="000851DE" w:rsidRPr="00DF7318" w:rsidRDefault="00067A49" w:rsidP="00DF7318">
      <w:pPr>
        <w:spacing w:line="276" w:lineRule="auto"/>
        <w:rPr>
          <w:b/>
          <w:sz w:val="22"/>
          <w:szCs w:val="22"/>
        </w:rPr>
      </w:pPr>
      <w:r w:rsidRPr="00DF7318">
        <w:rPr>
          <w:b/>
          <w:sz w:val="22"/>
          <w:szCs w:val="22"/>
        </w:rPr>
        <w:t>Proposal:</w:t>
      </w:r>
      <w:r w:rsidRPr="00DF7318">
        <w:rPr>
          <w:b/>
          <w:sz w:val="22"/>
          <w:szCs w:val="22"/>
        </w:rPr>
        <w:tab/>
        <w:t>WSB is invited to note the information.</w:t>
      </w:r>
    </w:p>
    <w:p w14:paraId="3CE1B712" w14:textId="78AFBA9F" w:rsidR="00726B51" w:rsidRPr="00DF7318" w:rsidRDefault="00726B51" w:rsidP="00DF7318">
      <w:pPr>
        <w:spacing w:line="276" w:lineRule="auto"/>
        <w:rPr>
          <w:rFonts w:ascii="Arial" w:hAnsi="Arial" w:cs="Arial"/>
          <w:b/>
          <w:sz w:val="22"/>
          <w:szCs w:val="22"/>
        </w:rPr>
      </w:pPr>
    </w:p>
    <w:p w14:paraId="089761ED" w14:textId="77777777" w:rsidR="007F6DA6" w:rsidRPr="00DF7318" w:rsidRDefault="007F6DA6" w:rsidP="00DF7318">
      <w:pPr>
        <w:spacing w:line="276" w:lineRule="auto"/>
        <w:rPr>
          <w:rFonts w:ascii="Arial" w:hAnsi="Arial" w:cs="Arial"/>
          <w:b/>
          <w:sz w:val="22"/>
          <w:szCs w:val="22"/>
        </w:rPr>
      </w:pPr>
    </w:p>
    <w:p w14:paraId="35564E85" w14:textId="25C3228C" w:rsidR="00726B51" w:rsidRPr="00DF7318" w:rsidRDefault="00726B51" w:rsidP="00DF7318">
      <w:pPr>
        <w:spacing w:after="240" w:line="276" w:lineRule="auto"/>
        <w:rPr>
          <w:rFonts w:ascii="Arial" w:hAnsi="Arial" w:cs="Arial"/>
          <w:b/>
          <w:sz w:val="22"/>
          <w:szCs w:val="22"/>
          <w:lang w:val="en-GB"/>
        </w:rPr>
      </w:pPr>
      <w:r w:rsidRPr="00DF7318">
        <w:rPr>
          <w:rFonts w:ascii="Arial" w:hAnsi="Arial" w:cs="Arial"/>
          <w:b/>
          <w:sz w:val="22"/>
          <w:szCs w:val="22"/>
          <w:lang w:val="en-GB"/>
        </w:rPr>
        <w:t>Single Integrated Management Plan (SIMP)</w:t>
      </w:r>
    </w:p>
    <w:p w14:paraId="40E74487" w14:textId="55EC2A13" w:rsidR="00522878" w:rsidRDefault="00D20304" w:rsidP="00DF7318">
      <w:pPr>
        <w:spacing w:line="276" w:lineRule="auto"/>
        <w:rPr>
          <w:bCs/>
          <w:sz w:val="22"/>
          <w:szCs w:val="22"/>
        </w:rPr>
      </w:pPr>
      <w:r>
        <w:rPr>
          <w:bCs/>
          <w:sz w:val="22"/>
          <w:szCs w:val="22"/>
        </w:rPr>
        <w:t>Ms Soledad Luna</w:t>
      </w:r>
      <w:r w:rsidRPr="00DF7318">
        <w:rPr>
          <w:bCs/>
          <w:sz w:val="22"/>
          <w:szCs w:val="22"/>
        </w:rPr>
        <w:t xml:space="preserve"> </w:t>
      </w:r>
      <w:r>
        <w:rPr>
          <w:bCs/>
          <w:sz w:val="22"/>
          <w:szCs w:val="22"/>
        </w:rPr>
        <w:t>(</w:t>
      </w:r>
      <w:r w:rsidRPr="00DF7318">
        <w:rPr>
          <w:bCs/>
          <w:sz w:val="22"/>
          <w:szCs w:val="22"/>
        </w:rPr>
        <w:t>CWSS</w:t>
      </w:r>
      <w:r>
        <w:rPr>
          <w:bCs/>
          <w:sz w:val="22"/>
          <w:szCs w:val="22"/>
        </w:rPr>
        <w:t>)</w:t>
      </w:r>
      <w:r w:rsidRPr="00DF7318">
        <w:rPr>
          <w:bCs/>
          <w:sz w:val="22"/>
          <w:szCs w:val="22"/>
        </w:rPr>
        <w:t xml:space="preserve"> </w:t>
      </w:r>
      <w:r>
        <w:rPr>
          <w:bCs/>
          <w:sz w:val="22"/>
          <w:szCs w:val="22"/>
        </w:rPr>
        <w:t xml:space="preserve">informed TG-M </w:t>
      </w:r>
      <w:r w:rsidR="00726B51" w:rsidRPr="00DF7318">
        <w:rPr>
          <w:bCs/>
          <w:sz w:val="22"/>
          <w:szCs w:val="22"/>
        </w:rPr>
        <w:t xml:space="preserve">on the status of the SIMP development. It was agreed that it would be </w:t>
      </w:r>
      <w:r w:rsidR="00DF7318">
        <w:rPr>
          <w:bCs/>
          <w:sz w:val="22"/>
          <w:szCs w:val="22"/>
        </w:rPr>
        <w:t>substantial</w:t>
      </w:r>
      <w:r w:rsidR="00726B51" w:rsidRPr="00DF7318">
        <w:rPr>
          <w:bCs/>
          <w:sz w:val="22"/>
          <w:szCs w:val="22"/>
        </w:rPr>
        <w:t xml:space="preserve"> to </w:t>
      </w:r>
      <w:r w:rsidR="005F1E23">
        <w:rPr>
          <w:bCs/>
          <w:sz w:val="22"/>
          <w:szCs w:val="22"/>
        </w:rPr>
        <w:t xml:space="preserve">select relevant </w:t>
      </w:r>
      <w:r w:rsidR="00726B51" w:rsidRPr="00DF7318">
        <w:rPr>
          <w:bCs/>
          <w:sz w:val="22"/>
          <w:szCs w:val="22"/>
        </w:rPr>
        <w:t>si</w:t>
      </w:r>
      <w:r w:rsidR="00DF7318">
        <w:rPr>
          <w:bCs/>
          <w:sz w:val="22"/>
          <w:szCs w:val="22"/>
        </w:rPr>
        <w:t>t</w:t>
      </w:r>
      <w:r w:rsidR="00726B51" w:rsidRPr="00DF7318">
        <w:rPr>
          <w:bCs/>
          <w:sz w:val="22"/>
          <w:szCs w:val="22"/>
        </w:rPr>
        <w:t>e managers</w:t>
      </w:r>
      <w:r w:rsidRPr="00D20304">
        <w:rPr>
          <w:bCs/>
          <w:sz w:val="22"/>
          <w:szCs w:val="22"/>
        </w:rPr>
        <w:t xml:space="preserve"> </w:t>
      </w:r>
      <w:r>
        <w:rPr>
          <w:bCs/>
          <w:sz w:val="22"/>
          <w:szCs w:val="22"/>
        </w:rPr>
        <w:t>early in the</w:t>
      </w:r>
      <w:r w:rsidRPr="00DF7318">
        <w:rPr>
          <w:bCs/>
          <w:sz w:val="22"/>
          <w:szCs w:val="22"/>
        </w:rPr>
        <w:t xml:space="preserve"> process</w:t>
      </w:r>
      <w:r w:rsidR="00266931" w:rsidRPr="00DF7318">
        <w:rPr>
          <w:bCs/>
          <w:sz w:val="22"/>
          <w:szCs w:val="22"/>
        </w:rPr>
        <w:t xml:space="preserve">. </w:t>
      </w:r>
      <w:r w:rsidR="00960041">
        <w:rPr>
          <w:bCs/>
          <w:sz w:val="22"/>
          <w:szCs w:val="22"/>
        </w:rPr>
        <w:t xml:space="preserve">One </w:t>
      </w:r>
      <w:r w:rsidR="00522878">
        <w:rPr>
          <w:bCs/>
          <w:sz w:val="22"/>
          <w:szCs w:val="22"/>
        </w:rPr>
        <w:t>part o</w:t>
      </w:r>
      <w:r w:rsidR="00960041">
        <w:rPr>
          <w:bCs/>
          <w:sz w:val="22"/>
          <w:szCs w:val="22"/>
        </w:rPr>
        <w:t xml:space="preserve">f this would be to </w:t>
      </w:r>
      <w:r w:rsidR="00522878">
        <w:rPr>
          <w:bCs/>
          <w:sz w:val="22"/>
          <w:szCs w:val="22"/>
        </w:rPr>
        <w:t xml:space="preserve">organize a workshop regarding the </w:t>
      </w:r>
      <w:r w:rsidR="005F1E23">
        <w:rPr>
          <w:bCs/>
          <w:sz w:val="22"/>
          <w:szCs w:val="22"/>
        </w:rPr>
        <w:t xml:space="preserve">selection of </w:t>
      </w:r>
      <w:r w:rsidR="00522878">
        <w:rPr>
          <w:bCs/>
          <w:sz w:val="22"/>
          <w:szCs w:val="22"/>
        </w:rPr>
        <w:t xml:space="preserve">key issues </w:t>
      </w:r>
      <w:r w:rsidR="005F1E23">
        <w:rPr>
          <w:bCs/>
          <w:sz w:val="22"/>
          <w:szCs w:val="22"/>
        </w:rPr>
        <w:t xml:space="preserve">for the SIMP </w:t>
      </w:r>
      <w:r w:rsidR="00522878">
        <w:rPr>
          <w:bCs/>
          <w:sz w:val="22"/>
          <w:szCs w:val="22"/>
        </w:rPr>
        <w:t>in autumn this year.</w:t>
      </w:r>
    </w:p>
    <w:p w14:paraId="24493ADD" w14:textId="7F1417F0" w:rsidR="00726B51" w:rsidRPr="00DF7318" w:rsidRDefault="00266931" w:rsidP="00DF7318">
      <w:pPr>
        <w:spacing w:line="276" w:lineRule="auto"/>
        <w:rPr>
          <w:bCs/>
          <w:sz w:val="22"/>
          <w:szCs w:val="22"/>
        </w:rPr>
      </w:pPr>
      <w:r w:rsidRPr="00DF7318">
        <w:rPr>
          <w:bCs/>
          <w:sz w:val="22"/>
          <w:szCs w:val="22"/>
        </w:rPr>
        <w:t xml:space="preserve">Furthermore, </w:t>
      </w:r>
      <w:r w:rsidR="00D20304">
        <w:rPr>
          <w:bCs/>
          <w:sz w:val="22"/>
          <w:szCs w:val="22"/>
        </w:rPr>
        <w:t xml:space="preserve">TG-M noted the importance to further address </w:t>
      </w:r>
      <w:r w:rsidR="00726B51" w:rsidRPr="00DF7318">
        <w:rPr>
          <w:bCs/>
          <w:sz w:val="22"/>
          <w:szCs w:val="22"/>
        </w:rPr>
        <w:t>the OUV attribu</w:t>
      </w:r>
      <w:r w:rsidR="00065ABB">
        <w:rPr>
          <w:bCs/>
          <w:sz w:val="22"/>
          <w:szCs w:val="22"/>
        </w:rPr>
        <w:t>tes, as w</w:t>
      </w:r>
      <w:r w:rsidRPr="00DF7318">
        <w:rPr>
          <w:bCs/>
          <w:sz w:val="22"/>
          <w:szCs w:val="22"/>
        </w:rPr>
        <w:t>ell as the relevant SDGs.</w:t>
      </w:r>
    </w:p>
    <w:p w14:paraId="1BD1F9C1" w14:textId="6C9A2F16" w:rsidR="00726B51" w:rsidRPr="00DF7318" w:rsidRDefault="00877451" w:rsidP="00DF7318">
      <w:pPr>
        <w:spacing w:line="276" w:lineRule="auto"/>
        <w:rPr>
          <w:bCs/>
          <w:sz w:val="22"/>
          <w:szCs w:val="22"/>
        </w:rPr>
      </w:pPr>
      <w:r>
        <w:rPr>
          <w:bCs/>
          <w:sz w:val="22"/>
          <w:szCs w:val="22"/>
        </w:rPr>
        <w:t xml:space="preserve">Based on the </w:t>
      </w:r>
      <w:r w:rsidR="00E32536">
        <w:rPr>
          <w:bCs/>
          <w:sz w:val="22"/>
          <w:szCs w:val="22"/>
        </w:rPr>
        <w:t xml:space="preserve">WSB </w:t>
      </w:r>
      <w:r>
        <w:rPr>
          <w:bCs/>
          <w:sz w:val="22"/>
          <w:szCs w:val="22"/>
        </w:rPr>
        <w:t xml:space="preserve">decision to integrate sustainable fisheries as a separate chapter in the SIMP, </w:t>
      </w:r>
      <w:r w:rsidR="00726B51" w:rsidRPr="00DF7318">
        <w:rPr>
          <w:bCs/>
          <w:sz w:val="22"/>
          <w:szCs w:val="22"/>
        </w:rPr>
        <w:t xml:space="preserve">TG-M </w:t>
      </w:r>
      <w:r w:rsidR="00266931" w:rsidRPr="00DF7318">
        <w:rPr>
          <w:bCs/>
          <w:sz w:val="22"/>
          <w:szCs w:val="22"/>
        </w:rPr>
        <w:t xml:space="preserve">agreed that </w:t>
      </w:r>
      <w:r w:rsidR="00726B51" w:rsidRPr="00DF7318">
        <w:rPr>
          <w:bCs/>
          <w:sz w:val="22"/>
          <w:szCs w:val="22"/>
        </w:rPr>
        <w:t>it would be necessary to assemble and update existing information</w:t>
      </w:r>
      <w:r w:rsidR="00DF7318">
        <w:rPr>
          <w:bCs/>
          <w:sz w:val="22"/>
          <w:szCs w:val="22"/>
        </w:rPr>
        <w:t xml:space="preserve"> on </w:t>
      </w:r>
      <w:r>
        <w:rPr>
          <w:bCs/>
          <w:sz w:val="22"/>
          <w:szCs w:val="22"/>
        </w:rPr>
        <w:t>the topic</w:t>
      </w:r>
      <w:r w:rsidR="00726B51" w:rsidRPr="00DF7318">
        <w:rPr>
          <w:bCs/>
          <w:sz w:val="22"/>
          <w:szCs w:val="22"/>
        </w:rPr>
        <w:t xml:space="preserve"> and to set realistic targets to </w:t>
      </w:r>
      <w:r w:rsidR="00DF7318">
        <w:rPr>
          <w:bCs/>
          <w:sz w:val="22"/>
          <w:szCs w:val="22"/>
        </w:rPr>
        <w:t xml:space="preserve">initiate the </w:t>
      </w:r>
      <w:r w:rsidR="00726B51" w:rsidRPr="00DF7318">
        <w:rPr>
          <w:bCs/>
          <w:sz w:val="22"/>
          <w:szCs w:val="22"/>
        </w:rPr>
        <w:t>discussi</w:t>
      </w:r>
      <w:r w:rsidR="00DF7318">
        <w:rPr>
          <w:bCs/>
          <w:sz w:val="22"/>
          <w:szCs w:val="22"/>
        </w:rPr>
        <w:t>on on</w:t>
      </w:r>
      <w:r w:rsidR="00726B51" w:rsidRPr="00DF7318">
        <w:rPr>
          <w:bCs/>
          <w:sz w:val="22"/>
          <w:szCs w:val="22"/>
        </w:rPr>
        <w:t xml:space="preserve"> the future format of the product and to explore options to adjust </w:t>
      </w:r>
      <w:r>
        <w:rPr>
          <w:bCs/>
          <w:sz w:val="22"/>
          <w:szCs w:val="22"/>
        </w:rPr>
        <w:t>it</w:t>
      </w:r>
      <w:r w:rsidR="00726B51" w:rsidRPr="00DF7318">
        <w:rPr>
          <w:bCs/>
          <w:sz w:val="22"/>
          <w:szCs w:val="22"/>
        </w:rPr>
        <w:t xml:space="preserve"> to the needs of the SIMP. </w:t>
      </w:r>
    </w:p>
    <w:p w14:paraId="6167296B" w14:textId="333C03DB" w:rsidR="00726B51" w:rsidRPr="00DF7318" w:rsidRDefault="00726B51" w:rsidP="00DF7318">
      <w:pPr>
        <w:spacing w:line="276" w:lineRule="auto"/>
        <w:rPr>
          <w:bCs/>
          <w:sz w:val="22"/>
          <w:szCs w:val="22"/>
        </w:rPr>
      </w:pPr>
    </w:p>
    <w:p w14:paraId="06F799E7" w14:textId="77777777" w:rsidR="00266931" w:rsidRPr="00DF7318" w:rsidRDefault="00266931" w:rsidP="00DF7318">
      <w:pPr>
        <w:spacing w:line="276" w:lineRule="auto"/>
        <w:rPr>
          <w:b/>
          <w:sz w:val="22"/>
          <w:szCs w:val="22"/>
        </w:rPr>
      </w:pPr>
      <w:r w:rsidRPr="00DF7318">
        <w:rPr>
          <w:b/>
          <w:sz w:val="22"/>
          <w:szCs w:val="22"/>
        </w:rPr>
        <w:t>Proposal:</w:t>
      </w:r>
      <w:r w:rsidRPr="00DF7318">
        <w:rPr>
          <w:b/>
          <w:sz w:val="22"/>
          <w:szCs w:val="22"/>
        </w:rPr>
        <w:tab/>
        <w:t>WSB is invited to endorse the approach.</w:t>
      </w:r>
    </w:p>
    <w:p w14:paraId="206CBF67" w14:textId="2EB37228" w:rsidR="00266931" w:rsidRPr="00DF7318" w:rsidRDefault="00266931" w:rsidP="00DF7318">
      <w:pPr>
        <w:spacing w:line="276" w:lineRule="auto"/>
        <w:rPr>
          <w:bCs/>
          <w:sz w:val="22"/>
          <w:szCs w:val="22"/>
        </w:rPr>
      </w:pPr>
    </w:p>
    <w:p w14:paraId="352F47C4" w14:textId="71E0FEDF" w:rsidR="00BC6152" w:rsidRDefault="00BC6152" w:rsidP="00726B51">
      <w:pPr>
        <w:spacing w:line="276" w:lineRule="auto"/>
        <w:rPr>
          <w:bCs/>
          <w:sz w:val="22"/>
          <w:szCs w:val="22"/>
        </w:rPr>
      </w:pPr>
    </w:p>
    <w:p w14:paraId="5F9E9497" w14:textId="61B74E21" w:rsidR="00BC6152" w:rsidRDefault="00BC6152" w:rsidP="00726B51">
      <w:pPr>
        <w:spacing w:line="276" w:lineRule="auto"/>
        <w:rPr>
          <w:bCs/>
          <w:sz w:val="22"/>
          <w:szCs w:val="22"/>
        </w:rPr>
      </w:pPr>
    </w:p>
    <w:p w14:paraId="503D29B2" w14:textId="5575661B" w:rsidR="00BC6152" w:rsidRDefault="00BC6152" w:rsidP="00726B51">
      <w:pPr>
        <w:spacing w:line="276" w:lineRule="auto"/>
        <w:rPr>
          <w:bCs/>
          <w:sz w:val="22"/>
          <w:szCs w:val="22"/>
        </w:rPr>
      </w:pPr>
    </w:p>
    <w:p w14:paraId="13DB0ED9" w14:textId="55D56A08" w:rsidR="00BC6152" w:rsidRDefault="00BC6152" w:rsidP="00726B51">
      <w:pPr>
        <w:spacing w:line="276" w:lineRule="auto"/>
        <w:rPr>
          <w:bCs/>
          <w:sz w:val="22"/>
          <w:szCs w:val="22"/>
        </w:rPr>
      </w:pPr>
    </w:p>
    <w:p w14:paraId="77518E84" w14:textId="0ED56773" w:rsidR="00BC6152" w:rsidRDefault="00BC6152" w:rsidP="00726B51">
      <w:pPr>
        <w:spacing w:line="276" w:lineRule="auto"/>
        <w:rPr>
          <w:bCs/>
          <w:sz w:val="22"/>
          <w:szCs w:val="22"/>
        </w:rPr>
      </w:pPr>
    </w:p>
    <w:p w14:paraId="2BEE663E" w14:textId="73D52C97" w:rsidR="00BC6152" w:rsidRDefault="00BC6152" w:rsidP="00726B51">
      <w:pPr>
        <w:spacing w:line="276" w:lineRule="auto"/>
        <w:rPr>
          <w:bCs/>
          <w:sz w:val="22"/>
          <w:szCs w:val="22"/>
        </w:rPr>
      </w:pPr>
    </w:p>
    <w:p w14:paraId="541C956A" w14:textId="679CE763" w:rsidR="00BC6152" w:rsidRDefault="00BC6152" w:rsidP="00726B51">
      <w:pPr>
        <w:spacing w:line="276" w:lineRule="auto"/>
        <w:rPr>
          <w:bCs/>
          <w:sz w:val="22"/>
          <w:szCs w:val="22"/>
        </w:rPr>
      </w:pPr>
    </w:p>
    <w:p w14:paraId="09659FAE" w14:textId="1AAB7A1B" w:rsidR="00BC6152" w:rsidRDefault="00BC6152" w:rsidP="00726B51">
      <w:pPr>
        <w:spacing w:line="276" w:lineRule="auto"/>
        <w:rPr>
          <w:bCs/>
          <w:sz w:val="22"/>
          <w:szCs w:val="22"/>
        </w:rPr>
      </w:pPr>
    </w:p>
    <w:p w14:paraId="3F781182" w14:textId="7C448ECD" w:rsidR="00BC6152" w:rsidRDefault="00BC6152" w:rsidP="00726B51">
      <w:pPr>
        <w:spacing w:line="276" w:lineRule="auto"/>
        <w:rPr>
          <w:bCs/>
          <w:sz w:val="22"/>
          <w:szCs w:val="22"/>
        </w:rPr>
      </w:pPr>
    </w:p>
    <w:p w14:paraId="3796FF9A" w14:textId="77777777" w:rsidR="00BC6152" w:rsidRDefault="00BC6152" w:rsidP="00726B51">
      <w:pPr>
        <w:spacing w:line="276" w:lineRule="auto"/>
        <w:rPr>
          <w:bCs/>
          <w:sz w:val="22"/>
          <w:szCs w:val="22"/>
        </w:rPr>
        <w:sectPr w:rsidR="00BC6152" w:rsidSect="001C042F">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09" w:footer="709" w:gutter="0"/>
          <w:cols w:space="708"/>
          <w:titlePg/>
          <w:docGrid w:linePitch="360"/>
        </w:sectPr>
      </w:pPr>
    </w:p>
    <w:p w14:paraId="3414498B" w14:textId="03CBB2A9" w:rsidR="00BC6152" w:rsidRPr="00BC6152" w:rsidRDefault="00BC6152" w:rsidP="00BC6152">
      <w:pPr>
        <w:rPr>
          <w:b/>
          <w:sz w:val="22"/>
          <w:szCs w:val="22"/>
        </w:rPr>
      </w:pPr>
      <w:r w:rsidRPr="00BC6152">
        <w:rPr>
          <w:b/>
          <w:sz w:val="22"/>
          <w:szCs w:val="22"/>
        </w:rPr>
        <w:lastRenderedPageBreak/>
        <w:t xml:space="preserve">ANNEX 1: Draft TG-M </w:t>
      </w:r>
      <w:r w:rsidRPr="00BC6152">
        <w:rPr>
          <w:b/>
          <w:caps/>
          <w:sz w:val="22"/>
          <w:szCs w:val="22"/>
        </w:rPr>
        <w:t>W</w:t>
      </w:r>
      <w:r w:rsidRPr="00BC6152">
        <w:rPr>
          <w:b/>
          <w:sz w:val="22"/>
          <w:szCs w:val="22"/>
        </w:rPr>
        <w:t>orkplan 2019</w:t>
      </w:r>
    </w:p>
    <w:p w14:paraId="393C94EE" w14:textId="36D882B3" w:rsidR="00BC6152" w:rsidRDefault="00BC6152" w:rsidP="00726B51">
      <w:pPr>
        <w:spacing w:line="276" w:lineRule="auto"/>
        <w:rPr>
          <w:bCs/>
          <w:sz w:val="22"/>
          <w:szCs w:val="22"/>
        </w:rPr>
      </w:pPr>
    </w:p>
    <w:tbl>
      <w:tblPr>
        <w:tblStyle w:val="Tabellenraster"/>
        <w:tblW w:w="14460" w:type="dxa"/>
        <w:tblBorders>
          <w:top w:val="single" w:sz="4" w:space="0" w:color="00B7E5"/>
          <w:left w:val="single" w:sz="4" w:space="0" w:color="00B7E5"/>
          <w:bottom w:val="single" w:sz="4" w:space="0" w:color="00B7E5"/>
          <w:right w:val="single" w:sz="4" w:space="0" w:color="00B7E5"/>
          <w:insideH w:val="single" w:sz="4" w:space="0" w:color="00B7E5"/>
          <w:insideV w:val="single" w:sz="4" w:space="0" w:color="00B7E5"/>
        </w:tblBorders>
        <w:tblLayout w:type="fixed"/>
        <w:tblLook w:val="04A0" w:firstRow="1" w:lastRow="0" w:firstColumn="1" w:lastColumn="0" w:noHBand="0" w:noVBand="1"/>
      </w:tblPr>
      <w:tblGrid>
        <w:gridCol w:w="3683"/>
        <w:gridCol w:w="3290"/>
        <w:gridCol w:w="1196"/>
        <w:gridCol w:w="699"/>
        <w:gridCol w:w="699"/>
        <w:gridCol w:w="699"/>
        <w:gridCol w:w="699"/>
        <w:gridCol w:w="699"/>
        <w:gridCol w:w="699"/>
        <w:gridCol w:w="699"/>
        <w:gridCol w:w="699"/>
        <w:gridCol w:w="699"/>
      </w:tblGrid>
      <w:tr w:rsidR="00BC6152" w14:paraId="33AC4EC4" w14:textId="77777777" w:rsidTr="004964B1">
        <w:trPr>
          <w:tblHeader/>
        </w:trPr>
        <w:tc>
          <w:tcPr>
            <w:tcW w:w="3683" w:type="dxa"/>
            <w:tcBorders>
              <w:top w:val="single" w:sz="4" w:space="0" w:color="00B7E5"/>
              <w:left w:val="nil"/>
              <w:bottom w:val="single" w:sz="4" w:space="0" w:color="00B7E5"/>
              <w:right w:val="nil"/>
            </w:tcBorders>
            <w:shd w:val="clear" w:color="auto" w:fill="0078B6"/>
            <w:hideMark/>
          </w:tcPr>
          <w:p w14:paraId="6F253167" w14:textId="77777777" w:rsidR="00BC6152" w:rsidRDefault="00BC6152" w:rsidP="006F1030">
            <w:pPr>
              <w:rPr>
                <w:b/>
                <w:color w:val="FFFFFF" w:themeColor="background1"/>
                <w:sz w:val="20"/>
                <w:szCs w:val="20"/>
              </w:rPr>
            </w:pPr>
            <w:r>
              <w:rPr>
                <w:color w:val="FFFFFF" w:themeColor="background1"/>
              </w:rPr>
              <w:t>L</w:t>
            </w:r>
            <w:r>
              <w:rPr>
                <w:b/>
                <w:color w:val="FFFFFF" w:themeColor="background1"/>
                <w:sz w:val="20"/>
                <w:szCs w:val="20"/>
              </w:rPr>
              <w:t>eeuwarden Declaration</w:t>
            </w:r>
          </w:p>
        </w:tc>
        <w:tc>
          <w:tcPr>
            <w:tcW w:w="3290" w:type="dxa"/>
            <w:tcBorders>
              <w:top w:val="single" w:sz="4" w:space="0" w:color="00B7E5"/>
              <w:left w:val="nil"/>
              <w:bottom w:val="single" w:sz="4" w:space="0" w:color="00B7E5"/>
              <w:right w:val="nil"/>
            </w:tcBorders>
            <w:shd w:val="clear" w:color="auto" w:fill="0078B6"/>
            <w:hideMark/>
          </w:tcPr>
          <w:p w14:paraId="00E5386E" w14:textId="77777777" w:rsidR="00BC6152" w:rsidRDefault="00BC6152" w:rsidP="006F1030">
            <w:pPr>
              <w:rPr>
                <w:b/>
                <w:color w:val="FFFFFF" w:themeColor="background1"/>
              </w:rPr>
            </w:pPr>
            <w:r>
              <w:rPr>
                <w:b/>
                <w:color w:val="FFFFFF" w:themeColor="background1"/>
              </w:rPr>
              <w:t>Products 2019</w:t>
            </w:r>
          </w:p>
        </w:tc>
        <w:tc>
          <w:tcPr>
            <w:tcW w:w="1196" w:type="dxa"/>
            <w:tcBorders>
              <w:top w:val="single" w:sz="4" w:space="0" w:color="00B7E5"/>
              <w:left w:val="nil"/>
              <w:bottom w:val="single" w:sz="4" w:space="0" w:color="00B7E5"/>
              <w:right w:val="nil"/>
            </w:tcBorders>
            <w:shd w:val="clear" w:color="auto" w:fill="0078B6"/>
            <w:hideMark/>
          </w:tcPr>
          <w:p w14:paraId="74B278BF" w14:textId="77777777" w:rsidR="00BC6152" w:rsidRDefault="00BC6152" w:rsidP="006F1030">
            <w:pPr>
              <w:rPr>
                <w:b/>
                <w:color w:val="FFFFFF" w:themeColor="background1"/>
                <w:sz w:val="20"/>
                <w:szCs w:val="20"/>
              </w:rPr>
            </w:pPr>
            <w:r>
              <w:rPr>
                <w:b/>
                <w:color w:val="FFFFFF" w:themeColor="background1"/>
                <w:sz w:val="20"/>
                <w:szCs w:val="20"/>
              </w:rPr>
              <w:t>TG-M role</w:t>
            </w:r>
          </w:p>
        </w:tc>
        <w:tc>
          <w:tcPr>
            <w:tcW w:w="699" w:type="dxa"/>
            <w:tcBorders>
              <w:top w:val="single" w:sz="4" w:space="0" w:color="00B7E5"/>
              <w:left w:val="nil"/>
              <w:bottom w:val="single" w:sz="4" w:space="0" w:color="00B7E5"/>
              <w:right w:val="nil"/>
            </w:tcBorders>
            <w:shd w:val="clear" w:color="auto" w:fill="0078B6"/>
            <w:hideMark/>
          </w:tcPr>
          <w:p w14:paraId="7DCF3EB4" w14:textId="77777777" w:rsidR="00BC6152" w:rsidRDefault="00BC6152" w:rsidP="006F1030">
            <w:pPr>
              <w:jc w:val="center"/>
              <w:rPr>
                <w:b/>
                <w:color w:val="FFFFFF" w:themeColor="background1"/>
                <w:sz w:val="20"/>
                <w:szCs w:val="20"/>
              </w:rPr>
            </w:pPr>
            <w:r>
              <w:rPr>
                <w:b/>
                <w:color w:val="FFFFFF" w:themeColor="background1"/>
                <w:sz w:val="20"/>
                <w:szCs w:val="20"/>
              </w:rPr>
              <w:t>IV</w:t>
            </w:r>
          </w:p>
        </w:tc>
        <w:tc>
          <w:tcPr>
            <w:tcW w:w="699" w:type="dxa"/>
            <w:tcBorders>
              <w:top w:val="single" w:sz="4" w:space="0" w:color="00B7E5"/>
              <w:left w:val="nil"/>
              <w:bottom w:val="single" w:sz="4" w:space="0" w:color="00B7E5"/>
              <w:right w:val="nil"/>
            </w:tcBorders>
            <w:shd w:val="clear" w:color="auto" w:fill="0078B6"/>
            <w:hideMark/>
          </w:tcPr>
          <w:p w14:paraId="12A58CC9" w14:textId="77777777" w:rsidR="00BC6152" w:rsidRDefault="00BC6152" w:rsidP="006F1030">
            <w:pPr>
              <w:jc w:val="center"/>
              <w:rPr>
                <w:b/>
                <w:color w:val="FFFFFF" w:themeColor="background1"/>
                <w:sz w:val="20"/>
                <w:szCs w:val="20"/>
              </w:rPr>
            </w:pPr>
            <w:r>
              <w:rPr>
                <w:b/>
                <w:color w:val="FFFFFF" w:themeColor="background1"/>
                <w:sz w:val="20"/>
                <w:szCs w:val="20"/>
              </w:rPr>
              <w:t>V</w:t>
            </w:r>
          </w:p>
        </w:tc>
        <w:tc>
          <w:tcPr>
            <w:tcW w:w="699" w:type="dxa"/>
            <w:tcBorders>
              <w:top w:val="single" w:sz="4" w:space="0" w:color="00B7E5"/>
              <w:left w:val="nil"/>
              <w:bottom w:val="single" w:sz="4" w:space="0" w:color="00B7E5"/>
              <w:right w:val="nil"/>
            </w:tcBorders>
            <w:shd w:val="clear" w:color="auto" w:fill="0078B6"/>
            <w:hideMark/>
          </w:tcPr>
          <w:p w14:paraId="7416A534" w14:textId="77777777" w:rsidR="00BC6152" w:rsidRDefault="00BC6152" w:rsidP="006F1030">
            <w:pPr>
              <w:jc w:val="center"/>
              <w:rPr>
                <w:b/>
                <w:color w:val="FFFFFF" w:themeColor="background1"/>
                <w:sz w:val="20"/>
                <w:szCs w:val="20"/>
              </w:rPr>
            </w:pPr>
            <w:r>
              <w:rPr>
                <w:b/>
                <w:color w:val="FFFFFF" w:themeColor="background1"/>
                <w:sz w:val="20"/>
                <w:szCs w:val="20"/>
              </w:rPr>
              <w:t>VI</w:t>
            </w:r>
          </w:p>
        </w:tc>
        <w:tc>
          <w:tcPr>
            <w:tcW w:w="699" w:type="dxa"/>
            <w:tcBorders>
              <w:top w:val="single" w:sz="4" w:space="0" w:color="00B7E5"/>
              <w:left w:val="nil"/>
              <w:bottom w:val="single" w:sz="4" w:space="0" w:color="00B7E5"/>
              <w:right w:val="nil"/>
            </w:tcBorders>
            <w:shd w:val="clear" w:color="auto" w:fill="0078B6"/>
            <w:hideMark/>
          </w:tcPr>
          <w:p w14:paraId="23CC9FD9" w14:textId="77777777" w:rsidR="00BC6152" w:rsidRDefault="00BC6152" w:rsidP="006F1030">
            <w:pPr>
              <w:jc w:val="center"/>
              <w:rPr>
                <w:b/>
                <w:color w:val="FFFFFF" w:themeColor="background1"/>
                <w:sz w:val="20"/>
                <w:szCs w:val="20"/>
              </w:rPr>
            </w:pPr>
            <w:r>
              <w:rPr>
                <w:b/>
                <w:color w:val="FFFFFF" w:themeColor="background1"/>
                <w:sz w:val="20"/>
                <w:szCs w:val="20"/>
              </w:rPr>
              <w:t>VII</w:t>
            </w:r>
          </w:p>
        </w:tc>
        <w:tc>
          <w:tcPr>
            <w:tcW w:w="699" w:type="dxa"/>
            <w:tcBorders>
              <w:top w:val="single" w:sz="4" w:space="0" w:color="00B7E5"/>
              <w:left w:val="nil"/>
              <w:bottom w:val="single" w:sz="4" w:space="0" w:color="00B7E5"/>
              <w:right w:val="nil"/>
            </w:tcBorders>
            <w:shd w:val="clear" w:color="auto" w:fill="0078B6"/>
            <w:hideMark/>
          </w:tcPr>
          <w:p w14:paraId="7C1D074B" w14:textId="77777777" w:rsidR="00BC6152" w:rsidRDefault="00BC6152" w:rsidP="006F1030">
            <w:pPr>
              <w:jc w:val="center"/>
              <w:rPr>
                <w:b/>
                <w:color w:val="FFFFFF" w:themeColor="background1"/>
                <w:sz w:val="20"/>
                <w:szCs w:val="20"/>
              </w:rPr>
            </w:pPr>
            <w:r>
              <w:rPr>
                <w:b/>
                <w:color w:val="FFFFFF" w:themeColor="background1"/>
                <w:sz w:val="20"/>
                <w:szCs w:val="20"/>
              </w:rPr>
              <w:t>VIII</w:t>
            </w:r>
          </w:p>
        </w:tc>
        <w:tc>
          <w:tcPr>
            <w:tcW w:w="699" w:type="dxa"/>
            <w:tcBorders>
              <w:top w:val="single" w:sz="4" w:space="0" w:color="00B7E5"/>
              <w:left w:val="nil"/>
              <w:bottom w:val="single" w:sz="4" w:space="0" w:color="00B7E5"/>
              <w:right w:val="nil"/>
            </w:tcBorders>
            <w:shd w:val="clear" w:color="auto" w:fill="0078B6"/>
            <w:hideMark/>
          </w:tcPr>
          <w:p w14:paraId="00ADC2AF" w14:textId="77777777" w:rsidR="00BC6152" w:rsidRDefault="00BC6152" w:rsidP="006F1030">
            <w:pPr>
              <w:jc w:val="center"/>
              <w:rPr>
                <w:b/>
                <w:color w:val="FFFFFF" w:themeColor="background1"/>
                <w:sz w:val="20"/>
                <w:szCs w:val="20"/>
              </w:rPr>
            </w:pPr>
            <w:r>
              <w:rPr>
                <w:b/>
                <w:color w:val="FFFFFF" w:themeColor="background1"/>
                <w:sz w:val="20"/>
                <w:szCs w:val="20"/>
              </w:rPr>
              <w:t>IX</w:t>
            </w:r>
          </w:p>
        </w:tc>
        <w:tc>
          <w:tcPr>
            <w:tcW w:w="699" w:type="dxa"/>
            <w:tcBorders>
              <w:top w:val="single" w:sz="4" w:space="0" w:color="00B7E5"/>
              <w:left w:val="nil"/>
              <w:bottom w:val="single" w:sz="4" w:space="0" w:color="00B7E5"/>
              <w:right w:val="nil"/>
            </w:tcBorders>
            <w:shd w:val="clear" w:color="auto" w:fill="0078B6"/>
            <w:hideMark/>
          </w:tcPr>
          <w:p w14:paraId="25125F8F" w14:textId="77777777" w:rsidR="00BC6152" w:rsidRDefault="00BC6152" w:rsidP="006F1030">
            <w:pPr>
              <w:jc w:val="center"/>
              <w:rPr>
                <w:b/>
                <w:color w:val="FFFFFF" w:themeColor="background1"/>
                <w:sz w:val="20"/>
                <w:szCs w:val="20"/>
              </w:rPr>
            </w:pPr>
            <w:r>
              <w:rPr>
                <w:b/>
                <w:color w:val="FFFFFF" w:themeColor="background1"/>
                <w:sz w:val="20"/>
                <w:szCs w:val="20"/>
              </w:rPr>
              <w:t>X</w:t>
            </w:r>
          </w:p>
        </w:tc>
        <w:tc>
          <w:tcPr>
            <w:tcW w:w="699" w:type="dxa"/>
            <w:tcBorders>
              <w:top w:val="single" w:sz="4" w:space="0" w:color="00B7E5"/>
              <w:left w:val="nil"/>
              <w:bottom w:val="single" w:sz="4" w:space="0" w:color="00B7E5"/>
              <w:right w:val="nil"/>
            </w:tcBorders>
            <w:shd w:val="clear" w:color="auto" w:fill="0078B6"/>
            <w:hideMark/>
          </w:tcPr>
          <w:p w14:paraId="4CE8BC54" w14:textId="77777777" w:rsidR="00BC6152" w:rsidRDefault="00BC6152" w:rsidP="006F1030">
            <w:pPr>
              <w:jc w:val="center"/>
              <w:rPr>
                <w:b/>
                <w:color w:val="FFFFFF" w:themeColor="background1"/>
                <w:sz w:val="20"/>
                <w:szCs w:val="20"/>
              </w:rPr>
            </w:pPr>
            <w:r>
              <w:rPr>
                <w:b/>
                <w:color w:val="FFFFFF" w:themeColor="background1"/>
                <w:sz w:val="20"/>
                <w:szCs w:val="20"/>
              </w:rPr>
              <w:t>XI</w:t>
            </w:r>
          </w:p>
        </w:tc>
        <w:tc>
          <w:tcPr>
            <w:tcW w:w="699" w:type="dxa"/>
            <w:tcBorders>
              <w:top w:val="single" w:sz="4" w:space="0" w:color="00B7E5"/>
              <w:left w:val="nil"/>
              <w:bottom w:val="single" w:sz="4" w:space="0" w:color="00B7E5"/>
              <w:right w:val="nil"/>
            </w:tcBorders>
            <w:shd w:val="clear" w:color="auto" w:fill="0078B6"/>
            <w:hideMark/>
          </w:tcPr>
          <w:p w14:paraId="178DBD85" w14:textId="77777777" w:rsidR="00BC6152" w:rsidRDefault="00BC6152" w:rsidP="006F1030">
            <w:pPr>
              <w:jc w:val="center"/>
              <w:rPr>
                <w:b/>
                <w:color w:val="FFFFFF" w:themeColor="background1"/>
                <w:sz w:val="20"/>
                <w:szCs w:val="20"/>
              </w:rPr>
            </w:pPr>
            <w:r>
              <w:rPr>
                <w:b/>
                <w:color w:val="FFFFFF" w:themeColor="background1"/>
                <w:sz w:val="20"/>
                <w:szCs w:val="20"/>
              </w:rPr>
              <w:t>XII</w:t>
            </w:r>
          </w:p>
        </w:tc>
      </w:tr>
      <w:tr w:rsidR="00BC6152" w14:paraId="0E5BE51D"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74567890" w14:textId="77777777" w:rsidR="00BC6152" w:rsidRDefault="00BC6152" w:rsidP="006F1030">
            <w:pPr>
              <w:rPr>
                <w:sz w:val="20"/>
                <w:szCs w:val="20"/>
              </w:rPr>
            </w:pPr>
            <w:r>
              <w:rPr>
                <w:b/>
                <w:color w:val="4472C4" w:themeColor="accent1"/>
                <w:sz w:val="20"/>
                <w:szCs w:val="20"/>
              </w:rPr>
              <w:t xml:space="preserve">WSB </w:t>
            </w:r>
            <w:r>
              <w:rPr>
                <w:b/>
                <w:sz w:val="20"/>
                <w:szCs w:val="20"/>
              </w:rPr>
              <w:t>/ TG-M</w:t>
            </w:r>
            <w:r>
              <w:rPr>
                <w:sz w:val="20"/>
                <w:szCs w:val="20"/>
              </w:rPr>
              <w:t xml:space="preserve"> scheduled</w:t>
            </w:r>
          </w:p>
        </w:tc>
        <w:tc>
          <w:tcPr>
            <w:tcW w:w="3290" w:type="dxa"/>
            <w:tcBorders>
              <w:top w:val="single" w:sz="4" w:space="0" w:color="00B7E5"/>
              <w:left w:val="nil"/>
              <w:bottom w:val="single" w:sz="4" w:space="0" w:color="00B7E5"/>
              <w:right w:val="single" w:sz="4" w:space="0" w:color="00B7E5"/>
            </w:tcBorders>
            <w:vAlign w:val="center"/>
          </w:tcPr>
          <w:p w14:paraId="345C1177" w14:textId="77777777" w:rsidR="00BC6152" w:rsidRDefault="00BC6152" w:rsidP="006F1030">
            <w:pPr>
              <w:rPr>
                <w:sz w:val="20"/>
                <w:szCs w:val="20"/>
              </w:rPr>
            </w:pPr>
          </w:p>
        </w:tc>
        <w:tc>
          <w:tcPr>
            <w:tcW w:w="1196" w:type="dxa"/>
            <w:tcBorders>
              <w:top w:val="single" w:sz="4" w:space="0" w:color="00B7E5"/>
              <w:left w:val="single" w:sz="4" w:space="0" w:color="00B7E5"/>
              <w:bottom w:val="single" w:sz="4" w:space="0" w:color="00B7E5"/>
              <w:right w:val="single" w:sz="4" w:space="0" w:color="00B7E5"/>
            </w:tcBorders>
            <w:vAlign w:val="center"/>
          </w:tcPr>
          <w:p w14:paraId="4B16E47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hideMark/>
          </w:tcPr>
          <w:p w14:paraId="484761BA" w14:textId="77777777" w:rsidR="00BC6152" w:rsidRDefault="00BC6152" w:rsidP="006F1030">
            <w:pPr>
              <w:jc w:val="center"/>
              <w:rPr>
                <w:b/>
                <w:sz w:val="20"/>
                <w:szCs w:val="20"/>
              </w:rPr>
            </w:pPr>
            <w:r>
              <w:rPr>
                <w:b/>
                <w:sz w:val="20"/>
                <w:szCs w:val="20"/>
              </w:rPr>
              <w:t>23/24</w:t>
            </w:r>
          </w:p>
        </w:tc>
        <w:tc>
          <w:tcPr>
            <w:tcW w:w="699" w:type="dxa"/>
            <w:tcBorders>
              <w:top w:val="single" w:sz="4" w:space="0" w:color="00B7E5"/>
              <w:left w:val="nil"/>
              <w:bottom w:val="single" w:sz="4" w:space="0" w:color="00B7E5"/>
              <w:right w:val="single" w:sz="4" w:space="0" w:color="00B7E5"/>
            </w:tcBorders>
            <w:vAlign w:val="center"/>
          </w:tcPr>
          <w:p w14:paraId="757CF4C2" w14:textId="77777777" w:rsidR="00BC6152" w:rsidRDefault="00BC6152" w:rsidP="006F1030">
            <w:pPr>
              <w:jc w:val="center"/>
              <w:rPr>
                <w:b/>
                <w:sz w:val="20"/>
                <w:szCs w:val="20"/>
              </w:rPr>
            </w:pPr>
          </w:p>
        </w:tc>
        <w:tc>
          <w:tcPr>
            <w:tcW w:w="699" w:type="dxa"/>
            <w:tcBorders>
              <w:top w:val="single" w:sz="4" w:space="0" w:color="00B7E5"/>
              <w:left w:val="nil"/>
              <w:bottom w:val="single" w:sz="4" w:space="0" w:color="00B7E5"/>
              <w:right w:val="single" w:sz="4" w:space="0" w:color="00B7E5"/>
            </w:tcBorders>
            <w:vAlign w:val="center"/>
            <w:hideMark/>
          </w:tcPr>
          <w:p w14:paraId="55C6AEA9" w14:textId="77777777" w:rsidR="00BC6152" w:rsidRDefault="00BC6152" w:rsidP="006F1030">
            <w:pPr>
              <w:jc w:val="center"/>
              <w:rPr>
                <w:b/>
                <w:sz w:val="20"/>
                <w:szCs w:val="20"/>
              </w:rPr>
            </w:pPr>
            <w:r>
              <w:rPr>
                <w:b/>
                <w:color w:val="4472C4" w:themeColor="accent1"/>
                <w:sz w:val="20"/>
                <w:szCs w:val="20"/>
              </w:rPr>
              <w:t>19</w:t>
            </w:r>
          </w:p>
        </w:tc>
        <w:tc>
          <w:tcPr>
            <w:tcW w:w="699" w:type="dxa"/>
            <w:tcBorders>
              <w:top w:val="single" w:sz="4" w:space="0" w:color="00B7E5"/>
              <w:left w:val="nil"/>
              <w:bottom w:val="single" w:sz="4" w:space="0" w:color="00B7E5"/>
              <w:right w:val="single" w:sz="4" w:space="0" w:color="00B7E5"/>
            </w:tcBorders>
            <w:vAlign w:val="center"/>
          </w:tcPr>
          <w:p w14:paraId="422770B9" w14:textId="77777777" w:rsidR="00BC6152" w:rsidRDefault="00BC6152" w:rsidP="006F1030">
            <w:pPr>
              <w:jc w:val="center"/>
              <w:rPr>
                <w:b/>
                <w:sz w:val="20"/>
                <w:szCs w:val="20"/>
              </w:rPr>
            </w:pPr>
          </w:p>
        </w:tc>
        <w:tc>
          <w:tcPr>
            <w:tcW w:w="699" w:type="dxa"/>
            <w:tcBorders>
              <w:top w:val="single" w:sz="4" w:space="0" w:color="00B7E5"/>
              <w:left w:val="nil"/>
              <w:bottom w:val="single" w:sz="4" w:space="0" w:color="00B7E5"/>
              <w:right w:val="single" w:sz="4" w:space="0" w:color="00B7E5"/>
            </w:tcBorders>
            <w:vAlign w:val="center"/>
          </w:tcPr>
          <w:p w14:paraId="7E1C2F30" w14:textId="77777777" w:rsidR="00BC6152" w:rsidRDefault="00BC6152" w:rsidP="006F1030">
            <w:pPr>
              <w:jc w:val="center"/>
              <w:rPr>
                <w:b/>
                <w:sz w:val="20"/>
                <w:szCs w:val="20"/>
              </w:rPr>
            </w:pPr>
          </w:p>
        </w:tc>
        <w:tc>
          <w:tcPr>
            <w:tcW w:w="699" w:type="dxa"/>
            <w:tcBorders>
              <w:top w:val="single" w:sz="4" w:space="0" w:color="00B7E5"/>
              <w:left w:val="nil"/>
              <w:bottom w:val="single" w:sz="4" w:space="0" w:color="00B7E5"/>
              <w:right w:val="single" w:sz="4" w:space="0" w:color="00B7E5"/>
            </w:tcBorders>
            <w:vAlign w:val="center"/>
          </w:tcPr>
          <w:p w14:paraId="1A4B374E" w14:textId="77777777" w:rsidR="00BC6152" w:rsidRDefault="00BC6152" w:rsidP="006F1030">
            <w:pPr>
              <w:jc w:val="center"/>
              <w:rPr>
                <w:b/>
                <w:sz w:val="20"/>
                <w:szCs w:val="20"/>
              </w:rPr>
            </w:pPr>
          </w:p>
        </w:tc>
        <w:tc>
          <w:tcPr>
            <w:tcW w:w="699" w:type="dxa"/>
            <w:tcBorders>
              <w:top w:val="single" w:sz="4" w:space="0" w:color="00B7E5"/>
              <w:left w:val="nil"/>
              <w:bottom w:val="single" w:sz="4" w:space="0" w:color="00B7E5"/>
              <w:right w:val="single" w:sz="4" w:space="0" w:color="00B7E5"/>
            </w:tcBorders>
            <w:vAlign w:val="center"/>
            <w:hideMark/>
          </w:tcPr>
          <w:p w14:paraId="52957058" w14:textId="77777777" w:rsidR="00BC6152" w:rsidRDefault="00BC6152" w:rsidP="006F1030">
            <w:pPr>
              <w:jc w:val="center"/>
              <w:rPr>
                <w:b/>
                <w:sz w:val="20"/>
                <w:szCs w:val="20"/>
              </w:rPr>
            </w:pPr>
            <w:r>
              <w:rPr>
                <w:b/>
                <w:sz w:val="20"/>
                <w:szCs w:val="20"/>
              </w:rPr>
              <w:t>8/9</w:t>
            </w:r>
          </w:p>
        </w:tc>
        <w:tc>
          <w:tcPr>
            <w:tcW w:w="699" w:type="dxa"/>
            <w:tcBorders>
              <w:top w:val="single" w:sz="4" w:space="0" w:color="00B7E5"/>
              <w:left w:val="nil"/>
              <w:bottom w:val="single" w:sz="4" w:space="0" w:color="00B7E5"/>
              <w:right w:val="single" w:sz="4" w:space="0" w:color="00B7E5"/>
            </w:tcBorders>
            <w:vAlign w:val="center"/>
            <w:hideMark/>
          </w:tcPr>
          <w:p w14:paraId="4A03C4F9" w14:textId="77777777" w:rsidR="00BC6152" w:rsidRDefault="00BC6152" w:rsidP="006F1030">
            <w:pPr>
              <w:jc w:val="center"/>
              <w:rPr>
                <w:b/>
                <w:color w:val="4472C4" w:themeColor="accent1"/>
                <w:sz w:val="20"/>
                <w:szCs w:val="20"/>
              </w:rPr>
            </w:pPr>
            <w:r>
              <w:rPr>
                <w:b/>
                <w:color w:val="4472C4" w:themeColor="accent1"/>
                <w:sz w:val="20"/>
                <w:szCs w:val="20"/>
              </w:rPr>
              <w:t>21</w:t>
            </w:r>
          </w:p>
        </w:tc>
        <w:tc>
          <w:tcPr>
            <w:tcW w:w="699" w:type="dxa"/>
            <w:tcBorders>
              <w:top w:val="single" w:sz="4" w:space="0" w:color="00B7E5"/>
              <w:left w:val="nil"/>
              <w:bottom w:val="single" w:sz="4" w:space="0" w:color="00B7E5"/>
              <w:right w:val="single" w:sz="4" w:space="0" w:color="00B7E5"/>
            </w:tcBorders>
            <w:vAlign w:val="center"/>
          </w:tcPr>
          <w:p w14:paraId="0DA8589B" w14:textId="77777777" w:rsidR="00BC6152" w:rsidRDefault="00BC6152" w:rsidP="006F1030">
            <w:pPr>
              <w:jc w:val="center"/>
              <w:rPr>
                <w:b/>
                <w:sz w:val="20"/>
                <w:szCs w:val="20"/>
              </w:rPr>
            </w:pPr>
          </w:p>
        </w:tc>
      </w:tr>
      <w:tr w:rsidR="004964B1" w14:paraId="4AB8AB45" w14:textId="77777777" w:rsidTr="004964B1">
        <w:trPr>
          <w:trHeight w:val="397"/>
        </w:trPr>
        <w:tc>
          <w:tcPr>
            <w:tcW w:w="3683" w:type="dxa"/>
            <w:vMerge w:val="restart"/>
            <w:tcBorders>
              <w:top w:val="single" w:sz="4" w:space="0" w:color="00B7E5"/>
              <w:left w:val="nil"/>
              <w:right w:val="single" w:sz="4" w:space="0" w:color="00B7E5"/>
            </w:tcBorders>
            <w:vAlign w:val="center"/>
            <w:hideMark/>
          </w:tcPr>
          <w:p w14:paraId="767142DA" w14:textId="77777777" w:rsidR="004964B1" w:rsidRDefault="004964B1" w:rsidP="006F1030">
            <w:pPr>
              <w:rPr>
                <w:sz w:val="20"/>
                <w:szCs w:val="20"/>
              </w:rPr>
            </w:pPr>
            <w:r>
              <w:rPr>
                <w:sz w:val="20"/>
                <w:szCs w:val="20"/>
              </w:rPr>
              <w:t>3. Single integrated management plan (SIMP)</w:t>
            </w:r>
          </w:p>
        </w:tc>
        <w:tc>
          <w:tcPr>
            <w:tcW w:w="3290" w:type="dxa"/>
            <w:tcBorders>
              <w:top w:val="single" w:sz="4" w:space="0" w:color="00B7E5"/>
              <w:left w:val="nil"/>
              <w:bottom w:val="single" w:sz="4" w:space="0" w:color="00B7E5"/>
              <w:right w:val="single" w:sz="4" w:space="0" w:color="00B7E5"/>
            </w:tcBorders>
            <w:vAlign w:val="center"/>
            <w:hideMark/>
          </w:tcPr>
          <w:p w14:paraId="6AB53A55" w14:textId="77777777" w:rsidR="004964B1" w:rsidRDefault="004964B1" w:rsidP="006F1030">
            <w:pPr>
              <w:rPr>
                <w:sz w:val="20"/>
                <w:szCs w:val="20"/>
              </w:rPr>
            </w:pPr>
            <w:r>
              <w:rPr>
                <w:sz w:val="20"/>
                <w:szCs w:val="20"/>
              </w:rPr>
              <w:t>Selection key priority issues</w:t>
            </w:r>
          </w:p>
          <w:p w14:paraId="721EA3AC" w14:textId="6016EDFF" w:rsidR="004964B1" w:rsidRDefault="004964B1" w:rsidP="006F1030">
            <w:pPr>
              <w:rPr>
                <w:sz w:val="20"/>
                <w:szCs w:val="20"/>
              </w:rPr>
            </w:pP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1C79EEB4" w14:textId="77777777" w:rsidR="004964B1" w:rsidRDefault="004964B1" w:rsidP="006F1030">
            <w:pPr>
              <w:rPr>
                <w:sz w:val="20"/>
                <w:szCs w:val="20"/>
              </w:rPr>
            </w:pPr>
            <w:r>
              <w:rPr>
                <w:sz w:val="20"/>
                <w:szCs w:val="20"/>
              </w:rPr>
              <w:t>Support and contribute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CC7348E"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5137D1CC"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65787160"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58A249CA"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64F5A305"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3E7BF273"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3410F461"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097BF579"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7384DA54" w14:textId="77777777" w:rsidR="004964B1" w:rsidRDefault="004964B1" w:rsidP="006F1030">
            <w:pPr>
              <w:rPr>
                <w:sz w:val="20"/>
                <w:szCs w:val="20"/>
              </w:rPr>
            </w:pPr>
          </w:p>
        </w:tc>
      </w:tr>
      <w:tr w:rsidR="004964B1" w14:paraId="2E2B3FF9" w14:textId="77777777" w:rsidTr="004964B1">
        <w:trPr>
          <w:trHeight w:val="397"/>
        </w:trPr>
        <w:tc>
          <w:tcPr>
            <w:tcW w:w="3683" w:type="dxa"/>
            <w:vMerge/>
            <w:tcBorders>
              <w:left w:val="nil"/>
              <w:bottom w:val="single" w:sz="4" w:space="0" w:color="00B7E5"/>
              <w:right w:val="single" w:sz="4" w:space="0" w:color="00B7E5"/>
            </w:tcBorders>
            <w:vAlign w:val="center"/>
          </w:tcPr>
          <w:p w14:paraId="7AEA5268" w14:textId="77777777" w:rsidR="004964B1" w:rsidRDefault="004964B1"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tcPr>
          <w:p w14:paraId="0A68641C" w14:textId="380F2BDD" w:rsidR="004964B1" w:rsidRDefault="004964B1" w:rsidP="006F1030">
            <w:pPr>
              <w:rPr>
                <w:sz w:val="20"/>
                <w:szCs w:val="20"/>
              </w:rPr>
            </w:pPr>
            <w:r>
              <w:rPr>
                <w:sz w:val="20"/>
                <w:szCs w:val="20"/>
              </w:rPr>
              <w:t>Selection of site managers</w:t>
            </w:r>
          </w:p>
        </w:tc>
        <w:tc>
          <w:tcPr>
            <w:tcW w:w="1196" w:type="dxa"/>
            <w:tcBorders>
              <w:top w:val="single" w:sz="4" w:space="0" w:color="00B7E5"/>
              <w:left w:val="single" w:sz="4" w:space="0" w:color="00B7E5"/>
              <w:bottom w:val="single" w:sz="4" w:space="0" w:color="00B7E5"/>
              <w:right w:val="single" w:sz="4" w:space="0" w:color="00B7E5"/>
            </w:tcBorders>
            <w:vAlign w:val="center"/>
          </w:tcPr>
          <w:p w14:paraId="61D53141" w14:textId="1B569A3A" w:rsidR="004964B1" w:rsidRDefault="004964B1" w:rsidP="006F1030">
            <w:pPr>
              <w:rPr>
                <w:sz w:val="20"/>
                <w:szCs w:val="20"/>
              </w:rPr>
            </w:pPr>
            <w:r w:rsidRPr="004964B1">
              <w:rPr>
                <w:sz w:val="20"/>
                <w:szCs w:val="20"/>
              </w:rPr>
              <w:t>Support and contribute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ACF7576"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13DA0A75"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2ECFF522"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7AFBEFE4"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2E2EF62A"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5AA6784E"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3F623A61"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36666040" w14:textId="77777777" w:rsidR="004964B1" w:rsidRDefault="004964B1"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vAlign w:val="center"/>
          </w:tcPr>
          <w:p w14:paraId="108735E5" w14:textId="77777777" w:rsidR="004964B1" w:rsidRDefault="004964B1" w:rsidP="006F1030">
            <w:pPr>
              <w:rPr>
                <w:sz w:val="20"/>
                <w:szCs w:val="20"/>
              </w:rPr>
            </w:pPr>
          </w:p>
        </w:tc>
      </w:tr>
      <w:tr w:rsidR="00BC6152" w14:paraId="62B07A4A" w14:textId="77777777" w:rsidTr="004964B1">
        <w:trPr>
          <w:trHeight w:val="397"/>
        </w:trPr>
        <w:tc>
          <w:tcPr>
            <w:tcW w:w="3683" w:type="dxa"/>
            <w:vMerge w:val="restart"/>
            <w:tcBorders>
              <w:top w:val="single" w:sz="4" w:space="0" w:color="00B7E5"/>
              <w:left w:val="nil"/>
              <w:bottom w:val="single" w:sz="4" w:space="0" w:color="00B7E5"/>
              <w:right w:val="single" w:sz="4" w:space="0" w:color="00B7E5"/>
            </w:tcBorders>
            <w:vAlign w:val="center"/>
            <w:hideMark/>
          </w:tcPr>
          <w:p w14:paraId="298F5F7E" w14:textId="77777777" w:rsidR="00BC6152" w:rsidRDefault="00BC6152" w:rsidP="006F1030">
            <w:pPr>
              <w:rPr>
                <w:sz w:val="20"/>
                <w:szCs w:val="20"/>
              </w:rPr>
            </w:pPr>
            <w:r>
              <w:rPr>
                <w:sz w:val="20"/>
                <w:szCs w:val="20"/>
              </w:rPr>
              <w:t>5. Wadden Sea Flyway Initiative (WSFI)</w:t>
            </w:r>
          </w:p>
        </w:tc>
        <w:tc>
          <w:tcPr>
            <w:tcW w:w="3290" w:type="dxa"/>
            <w:tcBorders>
              <w:top w:val="single" w:sz="4" w:space="0" w:color="00B7E5"/>
              <w:left w:val="nil"/>
              <w:bottom w:val="single" w:sz="4" w:space="0" w:color="00B7E5"/>
              <w:right w:val="single" w:sz="4" w:space="0" w:color="00B7E5"/>
            </w:tcBorders>
            <w:vAlign w:val="center"/>
            <w:hideMark/>
          </w:tcPr>
          <w:p w14:paraId="7C4F2E0D" w14:textId="77777777" w:rsidR="00BC6152" w:rsidRDefault="00BC6152" w:rsidP="006F1030">
            <w:pPr>
              <w:rPr>
                <w:sz w:val="20"/>
                <w:szCs w:val="20"/>
              </w:rPr>
            </w:pPr>
            <w:r>
              <w:rPr>
                <w:sz w:val="20"/>
                <w:szCs w:val="20"/>
              </w:rPr>
              <w:t>Integral Flyway Assessment Report 2017</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04A69B4B" w14:textId="77777777" w:rsidR="00BC6152" w:rsidRDefault="00BC6152" w:rsidP="006F1030">
            <w:pPr>
              <w:rPr>
                <w:sz w:val="20"/>
                <w:szCs w:val="20"/>
              </w:rPr>
            </w:pPr>
            <w:r>
              <w:rPr>
                <w:sz w:val="20"/>
                <w:szCs w:val="20"/>
              </w:rPr>
              <w:t>Observe</w:t>
            </w:r>
            <w:r>
              <w:rPr>
                <w:rStyle w:val="Funotenzeichen"/>
                <w:sz w:val="20"/>
                <w:szCs w:val="20"/>
              </w:rPr>
              <w:footnoteReference w:id="1"/>
            </w:r>
            <w:r>
              <w:rPr>
                <w:sz w:val="20"/>
                <w:szCs w:val="20"/>
              </w:rPr>
              <w:t xml:space="preserve"> </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6A0356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hideMark/>
          </w:tcPr>
          <w:p w14:paraId="4B2CBFBA" w14:textId="77777777" w:rsidR="00BC6152" w:rsidRDefault="00BC6152" w:rsidP="006F1030">
            <w:pPr>
              <w:rPr>
                <w:sz w:val="20"/>
                <w:szCs w:val="20"/>
              </w:rPr>
            </w:pPr>
            <w:r>
              <w:rPr>
                <w:sz w:val="20"/>
                <w:szCs w:val="20"/>
              </w:rPr>
              <w:t>9</w:t>
            </w:r>
          </w:p>
        </w:tc>
        <w:tc>
          <w:tcPr>
            <w:tcW w:w="699" w:type="dxa"/>
            <w:tcBorders>
              <w:top w:val="single" w:sz="4" w:space="0" w:color="00B7E5"/>
              <w:left w:val="single" w:sz="4" w:space="0" w:color="00B7E5"/>
              <w:bottom w:val="single" w:sz="4" w:space="0" w:color="00B7E5"/>
              <w:right w:val="single" w:sz="4" w:space="0" w:color="00B7E5"/>
            </w:tcBorders>
            <w:vAlign w:val="center"/>
          </w:tcPr>
          <w:p w14:paraId="0EC4153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tcPr>
          <w:p w14:paraId="136EC63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tcPr>
          <w:p w14:paraId="1BB7AAD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tcPr>
          <w:p w14:paraId="7020BE2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tcPr>
          <w:p w14:paraId="332CFBF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tcPr>
          <w:p w14:paraId="5FCC474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vAlign w:val="center"/>
          </w:tcPr>
          <w:p w14:paraId="3AD6EF8B" w14:textId="77777777" w:rsidR="00BC6152" w:rsidRDefault="00BC6152" w:rsidP="006F1030">
            <w:pPr>
              <w:rPr>
                <w:sz w:val="20"/>
                <w:szCs w:val="20"/>
              </w:rPr>
            </w:pPr>
          </w:p>
        </w:tc>
      </w:tr>
      <w:tr w:rsidR="00BC6152" w14:paraId="537E0012" w14:textId="77777777" w:rsidTr="004964B1">
        <w:trPr>
          <w:trHeight w:val="397"/>
        </w:trPr>
        <w:tc>
          <w:tcPr>
            <w:tcW w:w="3683" w:type="dxa"/>
            <w:vMerge/>
            <w:tcBorders>
              <w:top w:val="single" w:sz="4" w:space="0" w:color="00B7E5"/>
              <w:left w:val="nil"/>
              <w:bottom w:val="single" w:sz="4" w:space="0" w:color="00B7E5"/>
              <w:right w:val="single" w:sz="4" w:space="0" w:color="00B7E5"/>
            </w:tcBorders>
            <w:vAlign w:val="center"/>
            <w:hideMark/>
          </w:tcPr>
          <w:p w14:paraId="27505E13"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5135B5AD" w14:textId="77777777" w:rsidR="00BC6152" w:rsidRDefault="00BC6152" w:rsidP="006F1030">
            <w:pPr>
              <w:rPr>
                <w:sz w:val="20"/>
                <w:szCs w:val="20"/>
              </w:rPr>
            </w:pPr>
            <w:r>
              <w:rPr>
                <w:sz w:val="20"/>
                <w:szCs w:val="20"/>
              </w:rPr>
              <w:t>Arctic Cooperation</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14877F39" w14:textId="77777777" w:rsidR="00BC6152" w:rsidRDefault="00BC6152" w:rsidP="006F1030">
            <w:pPr>
              <w:rPr>
                <w:sz w:val="20"/>
                <w:szCs w:val="20"/>
              </w:rPr>
            </w:pPr>
            <w:r>
              <w:rPr>
                <w:sz w:val="20"/>
                <w:szCs w:val="20"/>
              </w:rPr>
              <w:t>Observe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D286B3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2A6486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034FB2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B92D4B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5AF6618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907EF4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07346F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176593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4491A2E" w14:textId="77777777" w:rsidR="00BC6152" w:rsidRDefault="00BC6152" w:rsidP="006F1030">
            <w:pPr>
              <w:rPr>
                <w:sz w:val="20"/>
                <w:szCs w:val="20"/>
              </w:rPr>
            </w:pPr>
          </w:p>
        </w:tc>
      </w:tr>
      <w:tr w:rsidR="00BC6152" w14:paraId="227366F0" w14:textId="77777777" w:rsidTr="004964B1">
        <w:trPr>
          <w:trHeight w:val="397"/>
        </w:trPr>
        <w:tc>
          <w:tcPr>
            <w:tcW w:w="3683" w:type="dxa"/>
            <w:vMerge/>
            <w:tcBorders>
              <w:top w:val="single" w:sz="4" w:space="0" w:color="00B7E5"/>
              <w:left w:val="nil"/>
              <w:bottom w:val="single" w:sz="4" w:space="0" w:color="00B7E5"/>
              <w:right w:val="single" w:sz="4" w:space="0" w:color="00B7E5"/>
            </w:tcBorders>
            <w:vAlign w:val="center"/>
            <w:hideMark/>
          </w:tcPr>
          <w:p w14:paraId="23D59692"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53FE2552" w14:textId="77777777" w:rsidR="00BC6152" w:rsidRDefault="00BC6152" w:rsidP="006F1030">
            <w:pPr>
              <w:rPr>
                <w:sz w:val="20"/>
                <w:szCs w:val="20"/>
              </w:rPr>
            </w:pPr>
            <w:r>
              <w:rPr>
                <w:sz w:val="20"/>
                <w:szCs w:val="20"/>
              </w:rPr>
              <w:t>Monitoring of key sites along Flyway</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57EAA32A" w14:textId="77777777" w:rsidR="00BC6152" w:rsidRDefault="00BC6152" w:rsidP="006F1030">
            <w:pPr>
              <w:rPr>
                <w:sz w:val="20"/>
                <w:szCs w:val="20"/>
              </w:rPr>
            </w:pPr>
            <w:r>
              <w:rPr>
                <w:sz w:val="20"/>
                <w:szCs w:val="20"/>
              </w:rPr>
              <w:t>Observe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5F825D1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7395B1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5E67B21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B27A2B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A9A7DE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3DCF9E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F6D18B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7593A75"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5247398" w14:textId="77777777" w:rsidR="00BC6152" w:rsidRDefault="00BC6152" w:rsidP="006F1030">
            <w:pPr>
              <w:rPr>
                <w:sz w:val="20"/>
                <w:szCs w:val="20"/>
              </w:rPr>
            </w:pPr>
          </w:p>
        </w:tc>
      </w:tr>
      <w:tr w:rsidR="00BC6152" w14:paraId="2E072873" w14:textId="77777777" w:rsidTr="004964B1">
        <w:trPr>
          <w:trHeight w:val="397"/>
        </w:trPr>
        <w:tc>
          <w:tcPr>
            <w:tcW w:w="3683" w:type="dxa"/>
            <w:vMerge/>
            <w:tcBorders>
              <w:top w:val="single" w:sz="4" w:space="0" w:color="00B7E5"/>
              <w:left w:val="nil"/>
              <w:bottom w:val="single" w:sz="4" w:space="0" w:color="00B7E5"/>
              <w:right w:val="single" w:sz="4" w:space="0" w:color="00B7E5"/>
            </w:tcBorders>
            <w:vAlign w:val="center"/>
            <w:hideMark/>
          </w:tcPr>
          <w:p w14:paraId="4040BB10"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0E551F4B" w14:textId="77777777" w:rsidR="00BC6152" w:rsidRDefault="00BC6152" w:rsidP="006F1030">
            <w:pPr>
              <w:rPr>
                <w:sz w:val="20"/>
                <w:szCs w:val="20"/>
              </w:rPr>
            </w:pPr>
            <w:r>
              <w:rPr>
                <w:sz w:val="20"/>
                <w:szCs w:val="20"/>
              </w:rPr>
              <w:t>Capacity Building</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729E48D9" w14:textId="77777777" w:rsidR="00BC6152" w:rsidRDefault="00BC6152" w:rsidP="006F1030">
            <w:pPr>
              <w:rPr>
                <w:sz w:val="20"/>
                <w:szCs w:val="20"/>
              </w:rPr>
            </w:pPr>
            <w:r>
              <w:rPr>
                <w:sz w:val="20"/>
                <w:szCs w:val="20"/>
              </w:rPr>
              <w:t>Observe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D5DAD6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DD2634B"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B381F65"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531935C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93166E5"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74510D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FA4FEE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7D386C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8E5AC13" w14:textId="77777777" w:rsidR="00BC6152" w:rsidRDefault="00BC6152" w:rsidP="006F1030">
            <w:pPr>
              <w:rPr>
                <w:sz w:val="20"/>
                <w:szCs w:val="20"/>
              </w:rPr>
            </w:pPr>
          </w:p>
        </w:tc>
      </w:tr>
      <w:tr w:rsidR="00BC6152" w14:paraId="4797EA93" w14:textId="77777777" w:rsidTr="004964B1">
        <w:trPr>
          <w:trHeight w:val="335"/>
        </w:trPr>
        <w:tc>
          <w:tcPr>
            <w:tcW w:w="3683" w:type="dxa"/>
            <w:vMerge w:val="restart"/>
            <w:tcBorders>
              <w:top w:val="single" w:sz="4" w:space="0" w:color="00B7E5"/>
              <w:left w:val="nil"/>
              <w:bottom w:val="single" w:sz="4" w:space="0" w:color="00B7E5"/>
              <w:right w:val="single" w:sz="4" w:space="0" w:color="00B7E5"/>
            </w:tcBorders>
            <w:vAlign w:val="center"/>
            <w:hideMark/>
          </w:tcPr>
          <w:p w14:paraId="63A78B8F" w14:textId="77777777" w:rsidR="00BC6152" w:rsidRDefault="00BC6152" w:rsidP="006F1030">
            <w:pPr>
              <w:rPr>
                <w:sz w:val="20"/>
                <w:szCs w:val="20"/>
              </w:rPr>
            </w:pPr>
            <w:r>
              <w:rPr>
                <w:sz w:val="20"/>
                <w:szCs w:val="20"/>
              </w:rPr>
              <w:t>12. Breeding Birds Action Plan</w:t>
            </w:r>
          </w:p>
        </w:tc>
        <w:tc>
          <w:tcPr>
            <w:tcW w:w="3290" w:type="dxa"/>
            <w:tcBorders>
              <w:top w:val="single" w:sz="4" w:space="0" w:color="00B7E5"/>
              <w:left w:val="nil"/>
              <w:bottom w:val="single" w:sz="4" w:space="0" w:color="00B7E5"/>
              <w:right w:val="single" w:sz="4" w:space="0" w:color="00B7E5"/>
            </w:tcBorders>
            <w:vAlign w:val="center"/>
            <w:hideMark/>
          </w:tcPr>
          <w:p w14:paraId="2DA1C73D" w14:textId="77777777" w:rsidR="00BC6152" w:rsidRDefault="00BC6152" w:rsidP="006F1030">
            <w:pPr>
              <w:rPr>
                <w:sz w:val="20"/>
                <w:szCs w:val="20"/>
              </w:rPr>
            </w:pPr>
            <w:r>
              <w:rPr>
                <w:sz w:val="20"/>
                <w:szCs w:val="20"/>
              </w:rPr>
              <w:t>Guidelines on predation management (EG-MB/BB)</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32654448" w14:textId="77777777" w:rsidR="00BC6152" w:rsidRDefault="00BC6152" w:rsidP="006F1030">
            <w:pPr>
              <w:rPr>
                <w:sz w:val="20"/>
                <w:szCs w:val="20"/>
              </w:rPr>
            </w:pPr>
            <w:r>
              <w:rPr>
                <w:sz w:val="20"/>
                <w:szCs w:val="20"/>
              </w:rPr>
              <w:t>Oversee</w:t>
            </w:r>
            <w:r>
              <w:rPr>
                <w:rStyle w:val="Funotenzeichen"/>
                <w:sz w:val="20"/>
                <w:szCs w:val="20"/>
              </w:rPr>
              <w:footnoteReference w:id="2"/>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1F93ED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1EBCEC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E67EBF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3D4A73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01EFDB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FF6F83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09D476D"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CC9D43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5DF6E50" w14:textId="77777777" w:rsidR="00BC6152" w:rsidRDefault="00BC6152" w:rsidP="006F1030">
            <w:pPr>
              <w:rPr>
                <w:sz w:val="20"/>
                <w:szCs w:val="20"/>
              </w:rPr>
            </w:pPr>
          </w:p>
        </w:tc>
      </w:tr>
      <w:tr w:rsidR="00BC6152" w14:paraId="7845462D" w14:textId="77777777" w:rsidTr="004964B1">
        <w:trPr>
          <w:trHeight w:val="335"/>
        </w:trPr>
        <w:tc>
          <w:tcPr>
            <w:tcW w:w="3683" w:type="dxa"/>
            <w:vMerge/>
            <w:tcBorders>
              <w:top w:val="single" w:sz="4" w:space="0" w:color="00B7E5"/>
              <w:left w:val="nil"/>
              <w:bottom w:val="single" w:sz="4" w:space="0" w:color="00B7E5"/>
              <w:right w:val="single" w:sz="4" w:space="0" w:color="00B7E5"/>
            </w:tcBorders>
            <w:vAlign w:val="center"/>
            <w:hideMark/>
          </w:tcPr>
          <w:p w14:paraId="2A0ED861"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168FC5F3" w14:textId="77777777" w:rsidR="00BC6152" w:rsidRDefault="00BC6152" w:rsidP="006F1030">
            <w:pPr>
              <w:rPr>
                <w:sz w:val="20"/>
                <w:szCs w:val="20"/>
              </w:rPr>
            </w:pPr>
            <w:r>
              <w:rPr>
                <w:sz w:val="20"/>
                <w:szCs w:val="20"/>
              </w:rPr>
              <w:t>Breeding bird trend report</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24A9C469" w14:textId="77777777" w:rsidR="00BC6152" w:rsidRDefault="00BC6152" w:rsidP="006F1030">
            <w:pPr>
              <w:rPr>
                <w:sz w:val="20"/>
                <w:szCs w:val="20"/>
              </w:rPr>
            </w:pPr>
            <w:r>
              <w:rPr>
                <w:sz w:val="20"/>
                <w:szCs w:val="20"/>
              </w:rPr>
              <w:t>Oversee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FE0AE6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98FC9D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C3DF7F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05EC2E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E6801A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713D5B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EFB492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932AF1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874EA17" w14:textId="77777777" w:rsidR="00BC6152" w:rsidRDefault="00BC6152" w:rsidP="006F1030">
            <w:pPr>
              <w:rPr>
                <w:sz w:val="20"/>
                <w:szCs w:val="20"/>
              </w:rPr>
            </w:pPr>
          </w:p>
        </w:tc>
      </w:tr>
      <w:tr w:rsidR="00BC6152" w14:paraId="33E1BEDF" w14:textId="77777777" w:rsidTr="004964B1">
        <w:trPr>
          <w:trHeight w:val="335"/>
        </w:trPr>
        <w:tc>
          <w:tcPr>
            <w:tcW w:w="3683" w:type="dxa"/>
            <w:vMerge/>
            <w:tcBorders>
              <w:top w:val="single" w:sz="4" w:space="0" w:color="00B7E5"/>
              <w:left w:val="nil"/>
              <w:bottom w:val="single" w:sz="4" w:space="0" w:color="00B7E5"/>
              <w:right w:val="single" w:sz="4" w:space="0" w:color="00B7E5"/>
            </w:tcBorders>
            <w:vAlign w:val="center"/>
            <w:hideMark/>
          </w:tcPr>
          <w:p w14:paraId="14A213AD"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28D999E8" w14:textId="77777777" w:rsidR="00BC6152" w:rsidRDefault="00BC6152" w:rsidP="006F1030">
            <w:pPr>
              <w:rPr>
                <w:sz w:val="20"/>
                <w:szCs w:val="20"/>
              </w:rPr>
            </w:pPr>
            <w:r>
              <w:rPr>
                <w:sz w:val="20"/>
                <w:szCs w:val="20"/>
              </w:rPr>
              <w:t xml:space="preserve">Work programme </w:t>
            </w:r>
          </w:p>
          <w:p w14:paraId="3EF22CC0" w14:textId="77777777" w:rsidR="00BC6152" w:rsidRDefault="00BC6152" w:rsidP="006F1030">
            <w:pPr>
              <w:rPr>
                <w:sz w:val="20"/>
                <w:szCs w:val="20"/>
              </w:rPr>
            </w:pPr>
            <w:r>
              <w:rPr>
                <w:sz w:val="20"/>
                <w:szCs w:val="20"/>
              </w:rPr>
              <w:t>2019-22</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6BABA8ED" w14:textId="77777777" w:rsidR="00BC6152" w:rsidRDefault="00BC6152" w:rsidP="006F1030">
            <w:pPr>
              <w:rPr>
                <w:sz w:val="20"/>
                <w:szCs w:val="20"/>
              </w:rPr>
            </w:pPr>
            <w:r>
              <w:rPr>
                <w:sz w:val="20"/>
                <w:szCs w:val="20"/>
              </w:rPr>
              <w:t>Oversee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37C6A8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70ED1F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E9A01A5"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53DD5A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03A692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5BE0857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F6DC61B"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155DCC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16040934" w14:textId="77777777" w:rsidR="00BC6152" w:rsidRDefault="00BC6152" w:rsidP="006F1030">
            <w:pPr>
              <w:rPr>
                <w:sz w:val="20"/>
                <w:szCs w:val="20"/>
              </w:rPr>
            </w:pPr>
          </w:p>
        </w:tc>
      </w:tr>
      <w:tr w:rsidR="00BC6152" w14:paraId="4016F551" w14:textId="77777777" w:rsidTr="004964B1">
        <w:trPr>
          <w:trHeight w:val="335"/>
        </w:trPr>
        <w:tc>
          <w:tcPr>
            <w:tcW w:w="3683" w:type="dxa"/>
            <w:vMerge/>
            <w:tcBorders>
              <w:top w:val="single" w:sz="4" w:space="0" w:color="00B7E5"/>
              <w:left w:val="nil"/>
              <w:bottom w:val="single" w:sz="4" w:space="0" w:color="00B7E5"/>
              <w:right w:val="single" w:sz="4" w:space="0" w:color="00B7E5"/>
            </w:tcBorders>
            <w:vAlign w:val="center"/>
            <w:hideMark/>
          </w:tcPr>
          <w:p w14:paraId="76644694"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7FF4863C" w14:textId="77777777" w:rsidR="00BC6152" w:rsidRDefault="00BC6152" w:rsidP="006F1030">
            <w:pPr>
              <w:rPr>
                <w:sz w:val="20"/>
                <w:szCs w:val="20"/>
              </w:rPr>
            </w:pPr>
            <w:r>
              <w:rPr>
                <w:sz w:val="20"/>
                <w:szCs w:val="20"/>
              </w:rPr>
              <w:t>Joint workshop EG BB and EG SMD on natural habitat restoration</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62CEB058" w14:textId="77777777" w:rsidR="00BC6152" w:rsidRDefault="00BC6152" w:rsidP="006F1030">
            <w:pPr>
              <w:rPr>
                <w:sz w:val="20"/>
                <w:szCs w:val="20"/>
              </w:rPr>
            </w:pPr>
            <w:r>
              <w:rPr>
                <w:sz w:val="20"/>
                <w:szCs w:val="20"/>
              </w:rPr>
              <w:t>Oversee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E50063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F0C766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C272D4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5FFD64D"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2CD30F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4DBA02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89D170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D89F76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0E44424" w14:textId="77777777" w:rsidR="00BC6152" w:rsidRDefault="00BC6152" w:rsidP="006F1030">
            <w:pPr>
              <w:rPr>
                <w:sz w:val="20"/>
                <w:szCs w:val="20"/>
              </w:rPr>
            </w:pPr>
          </w:p>
        </w:tc>
      </w:tr>
      <w:tr w:rsidR="00BC6152" w14:paraId="36539736" w14:textId="77777777" w:rsidTr="004964B1">
        <w:trPr>
          <w:trHeight w:val="194"/>
        </w:trPr>
        <w:tc>
          <w:tcPr>
            <w:tcW w:w="3683" w:type="dxa"/>
            <w:vMerge w:val="restart"/>
            <w:tcBorders>
              <w:top w:val="single" w:sz="4" w:space="0" w:color="00B7E5"/>
              <w:left w:val="nil"/>
              <w:bottom w:val="single" w:sz="4" w:space="0" w:color="00B7E5"/>
              <w:right w:val="single" w:sz="4" w:space="0" w:color="00B7E5"/>
            </w:tcBorders>
            <w:vAlign w:val="center"/>
            <w:hideMark/>
          </w:tcPr>
          <w:p w14:paraId="4BCDEEE7" w14:textId="77777777" w:rsidR="00BC6152" w:rsidRDefault="00BC6152" w:rsidP="006F1030">
            <w:pPr>
              <w:rPr>
                <w:sz w:val="20"/>
                <w:szCs w:val="20"/>
              </w:rPr>
            </w:pPr>
            <w:r>
              <w:rPr>
                <w:sz w:val="20"/>
                <w:szCs w:val="20"/>
              </w:rPr>
              <w:t>13. SWIMWAY</w:t>
            </w:r>
          </w:p>
        </w:tc>
        <w:tc>
          <w:tcPr>
            <w:tcW w:w="3290" w:type="dxa"/>
            <w:tcBorders>
              <w:top w:val="single" w:sz="4" w:space="0" w:color="00B7E5"/>
              <w:left w:val="nil"/>
              <w:bottom w:val="single" w:sz="4" w:space="0" w:color="00B7E5"/>
              <w:right w:val="single" w:sz="4" w:space="0" w:color="00B7E5"/>
            </w:tcBorders>
            <w:vAlign w:val="center"/>
            <w:hideMark/>
          </w:tcPr>
          <w:p w14:paraId="365302E3" w14:textId="77777777" w:rsidR="00BC6152" w:rsidRDefault="00BC6152" w:rsidP="006F1030">
            <w:pPr>
              <w:rPr>
                <w:sz w:val="20"/>
                <w:szCs w:val="20"/>
              </w:rPr>
            </w:pPr>
            <w:r>
              <w:rPr>
                <w:sz w:val="20"/>
                <w:szCs w:val="20"/>
              </w:rPr>
              <w:t>Fish Conference</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29A298AE" w14:textId="77777777" w:rsidR="00BC6152" w:rsidRDefault="00BC6152" w:rsidP="006F1030">
            <w:pPr>
              <w:rPr>
                <w:sz w:val="20"/>
                <w:szCs w:val="20"/>
              </w:rPr>
            </w:pPr>
            <w:r>
              <w:rPr>
                <w:sz w:val="20"/>
                <w:szCs w:val="20"/>
              </w:rPr>
              <w:t>Observe/</w:t>
            </w:r>
          </w:p>
          <w:p w14:paraId="5DC8195C" w14:textId="77777777" w:rsidR="00BC6152" w:rsidRDefault="00BC6152" w:rsidP="006F1030">
            <w:pPr>
              <w:rPr>
                <w:sz w:val="20"/>
                <w:szCs w:val="20"/>
              </w:rPr>
            </w:pPr>
            <w:r>
              <w:rPr>
                <w:sz w:val="20"/>
                <w:szCs w:val="20"/>
              </w:rPr>
              <w:t>support</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081C99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E1EB62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B3E3D3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DBF8BC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86108A4"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0D951E6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CBCDA7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416012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B3689DC" w14:textId="77777777" w:rsidR="00BC6152" w:rsidRDefault="00BC6152" w:rsidP="006F1030">
            <w:pPr>
              <w:rPr>
                <w:sz w:val="20"/>
                <w:szCs w:val="20"/>
              </w:rPr>
            </w:pPr>
          </w:p>
        </w:tc>
      </w:tr>
      <w:tr w:rsidR="00BC6152" w14:paraId="7198CB9E" w14:textId="77777777" w:rsidTr="004964B1">
        <w:trPr>
          <w:trHeight w:val="194"/>
        </w:trPr>
        <w:tc>
          <w:tcPr>
            <w:tcW w:w="3683" w:type="dxa"/>
            <w:vMerge/>
            <w:tcBorders>
              <w:top w:val="single" w:sz="4" w:space="0" w:color="00B7E5"/>
              <w:left w:val="nil"/>
              <w:bottom w:val="single" w:sz="4" w:space="0" w:color="00B7E5"/>
              <w:right w:val="single" w:sz="4" w:space="0" w:color="00B7E5"/>
            </w:tcBorders>
            <w:vAlign w:val="center"/>
            <w:hideMark/>
          </w:tcPr>
          <w:p w14:paraId="3FDCC7BC"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13E75E54" w14:textId="77777777" w:rsidR="00BC6152" w:rsidRDefault="00BC6152" w:rsidP="006F1030">
            <w:pPr>
              <w:rPr>
                <w:sz w:val="20"/>
                <w:szCs w:val="20"/>
              </w:rPr>
            </w:pPr>
            <w:r>
              <w:rPr>
                <w:sz w:val="20"/>
                <w:szCs w:val="20"/>
              </w:rPr>
              <w:t>ToR and work programme for EG Fish</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2E1A66A0" w14:textId="77777777" w:rsidR="00BC6152" w:rsidRDefault="00BC6152" w:rsidP="006F1030">
            <w:pPr>
              <w:rPr>
                <w:sz w:val="20"/>
                <w:szCs w:val="20"/>
              </w:rPr>
            </w:pPr>
            <w:r>
              <w:rPr>
                <w:sz w:val="20"/>
                <w:szCs w:val="20"/>
              </w:rPr>
              <w:t>Observe/</w:t>
            </w:r>
          </w:p>
          <w:p w14:paraId="45DFE51C" w14:textId="77777777" w:rsidR="00BC6152" w:rsidRDefault="00BC6152" w:rsidP="006F1030">
            <w:pPr>
              <w:rPr>
                <w:sz w:val="20"/>
                <w:szCs w:val="20"/>
              </w:rPr>
            </w:pPr>
            <w:r>
              <w:rPr>
                <w:sz w:val="20"/>
                <w:szCs w:val="20"/>
              </w:rPr>
              <w:t>support</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9654CF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E46B23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92FC5F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38C9800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540449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2D93038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7BFA58BB"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4E2AFB3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vAlign w:val="center"/>
          </w:tcPr>
          <w:p w14:paraId="61F43B6E" w14:textId="77777777" w:rsidR="00BC6152" w:rsidRDefault="00BC6152" w:rsidP="006F1030">
            <w:pPr>
              <w:rPr>
                <w:sz w:val="20"/>
                <w:szCs w:val="20"/>
              </w:rPr>
            </w:pPr>
          </w:p>
        </w:tc>
      </w:tr>
      <w:tr w:rsidR="00BC6152" w14:paraId="76678FF2" w14:textId="77777777" w:rsidTr="004964B1">
        <w:trPr>
          <w:trHeight w:val="382"/>
        </w:trPr>
        <w:tc>
          <w:tcPr>
            <w:tcW w:w="3683" w:type="dxa"/>
            <w:vMerge w:val="restart"/>
            <w:tcBorders>
              <w:top w:val="single" w:sz="4" w:space="0" w:color="00B7E5"/>
              <w:left w:val="nil"/>
              <w:bottom w:val="single" w:sz="4" w:space="0" w:color="00B7E5"/>
              <w:right w:val="single" w:sz="4" w:space="0" w:color="00B7E5"/>
            </w:tcBorders>
            <w:vAlign w:val="center"/>
            <w:hideMark/>
          </w:tcPr>
          <w:p w14:paraId="0DC85261" w14:textId="77777777" w:rsidR="00BC6152" w:rsidRDefault="00BC6152" w:rsidP="006F1030">
            <w:pPr>
              <w:rPr>
                <w:sz w:val="20"/>
                <w:szCs w:val="20"/>
              </w:rPr>
            </w:pPr>
            <w:r>
              <w:rPr>
                <w:sz w:val="20"/>
                <w:szCs w:val="20"/>
              </w:rPr>
              <w:t>14. Management &amp; Wardening</w:t>
            </w:r>
          </w:p>
        </w:tc>
        <w:tc>
          <w:tcPr>
            <w:tcW w:w="3290" w:type="dxa"/>
            <w:tcBorders>
              <w:top w:val="single" w:sz="4" w:space="0" w:color="00B7E5"/>
              <w:left w:val="nil"/>
              <w:bottom w:val="single" w:sz="4" w:space="0" w:color="00B7E5"/>
              <w:right w:val="single" w:sz="4" w:space="0" w:color="00B7E5"/>
            </w:tcBorders>
            <w:vAlign w:val="center"/>
            <w:hideMark/>
          </w:tcPr>
          <w:p w14:paraId="590D0EF4" w14:textId="77777777" w:rsidR="00BC6152" w:rsidRDefault="00BC6152" w:rsidP="006F1030">
            <w:pPr>
              <w:rPr>
                <w:sz w:val="20"/>
                <w:szCs w:val="20"/>
              </w:rPr>
            </w:pPr>
            <w:r>
              <w:rPr>
                <w:sz w:val="20"/>
                <w:szCs w:val="20"/>
              </w:rPr>
              <w:t>Management Workshop</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65039DED" w14:textId="77777777" w:rsidR="00BC6152" w:rsidRDefault="00BC6152" w:rsidP="006F1030">
            <w:pPr>
              <w:rPr>
                <w:sz w:val="20"/>
                <w:szCs w:val="20"/>
              </w:rPr>
            </w:pPr>
            <w:r>
              <w:rPr>
                <w:sz w:val="20"/>
                <w:szCs w:val="20"/>
              </w:rPr>
              <w:t>Responsible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56CE6D8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484CCB7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4526F5B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2AC502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278AF11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185080F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63703A4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6378989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2483FC02" w14:textId="77777777" w:rsidR="00BC6152" w:rsidRDefault="00BC6152" w:rsidP="006F1030">
            <w:pPr>
              <w:rPr>
                <w:sz w:val="20"/>
                <w:szCs w:val="20"/>
              </w:rPr>
            </w:pPr>
          </w:p>
        </w:tc>
      </w:tr>
      <w:tr w:rsidR="00BC6152" w14:paraId="3E77DA48" w14:textId="77777777" w:rsidTr="004964B1">
        <w:trPr>
          <w:trHeight w:val="382"/>
        </w:trPr>
        <w:tc>
          <w:tcPr>
            <w:tcW w:w="3683" w:type="dxa"/>
            <w:vMerge/>
            <w:tcBorders>
              <w:top w:val="single" w:sz="4" w:space="0" w:color="00B7E5"/>
              <w:left w:val="nil"/>
              <w:bottom w:val="single" w:sz="4" w:space="0" w:color="00B7E5"/>
              <w:right w:val="single" w:sz="4" w:space="0" w:color="00B7E5"/>
            </w:tcBorders>
            <w:vAlign w:val="center"/>
            <w:hideMark/>
          </w:tcPr>
          <w:p w14:paraId="7E0A3218"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6830B43C" w14:textId="77777777" w:rsidR="00BC6152" w:rsidRDefault="00BC6152" w:rsidP="006F1030">
            <w:pPr>
              <w:rPr>
                <w:sz w:val="20"/>
                <w:szCs w:val="20"/>
              </w:rPr>
            </w:pPr>
            <w:r>
              <w:rPr>
                <w:sz w:val="20"/>
                <w:szCs w:val="20"/>
              </w:rPr>
              <w:t>Wardening Workshop</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2F7F42D5" w14:textId="77777777" w:rsidR="00BC6152" w:rsidRDefault="00BC6152" w:rsidP="006F1030">
            <w:pPr>
              <w:rPr>
                <w:sz w:val="20"/>
                <w:szCs w:val="20"/>
              </w:rPr>
            </w:pPr>
            <w:r>
              <w:rPr>
                <w:sz w:val="20"/>
                <w:szCs w:val="20"/>
              </w:rPr>
              <w:t>Responsible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4033A17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hideMark/>
          </w:tcPr>
          <w:p w14:paraId="17C66C5C" w14:textId="77777777" w:rsidR="00BC6152" w:rsidRDefault="00BC6152" w:rsidP="006F1030">
            <w:pPr>
              <w:rPr>
                <w:sz w:val="20"/>
                <w:szCs w:val="20"/>
              </w:rPr>
            </w:pPr>
            <w:r>
              <w:rPr>
                <w:sz w:val="20"/>
                <w:szCs w:val="20"/>
              </w:rPr>
              <w:t>26/27</w:t>
            </w:r>
          </w:p>
        </w:tc>
        <w:tc>
          <w:tcPr>
            <w:tcW w:w="699" w:type="dxa"/>
            <w:tcBorders>
              <w:top w:val="single" w:sz="4" w:space="0" w:color="00B7E5"/>
              <w:left w:val="single" w:sz="4" w:space="0" w:color="00B7E5"/>
              <w:bottom w:val="single" w:sz="4" w:space="0" w:color="00B7E5"/>
              <w:right w:val="single" w:sz="4" w:space="0" w:color="00B7E5"/>
            </w:tcBorders>
          </w:tcPr>
          <w:p w14:paraId="3237D14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2263573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5814F5ED"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372B59F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528376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42E1FA8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7254E8E7" w14:textId="77777777" w:rsidR="00BC6152" w:rsidRDefault="00BC6152" w:rsidP="006F1030">
            <w:pPr>
              <w:rPr>
                <w:sz w:val="20"/>
                <w:szCs w:val="20"/>
              </w:rPr>
            </w:pPr>
          </w:p>
        </w:tc>
      </w:tr>
      <w:tr w:rsidR="00BC6152" w14:paraId="6138C176"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16FDD972" w14:textId="77777777" w:rsidR="00BC6152" w:rsidRDefault="00BC6152" w:rsidP="006F1030">
            <w:pPr>
              <w:rPr>
                <w:sz w:val="20"/>
                <w:szCs w:val="20"/>
              </w:rPr>
            </w:pPr>
            <w:r>
              <w:rPr>
                <w:sz w:val="20"/>
                <w:szCs w:val="20"/>
              </w:rPr>
              <w:lastRenderedPageBreak/>
              <w:t>15. Seal Management Plan 2018-2022</w:t>
            </w:r>
          </w:p>
        </w:tc>
        <w:tc>
          <w:tcPr>
            <w:tcW w:w="3290" w:type="dxa"/>
            <w:tcBorders>
              <w:top w:val="single" w:sz="4" w:space="0" w:color="00B7E5"/>
              <w:left w:val="nil"/>
              <w:bottom w:val="single" w:sz="4" w:space="0" w:color="00B7E5"/>
              <w:right w:val="single" w:sz="4" w:space="0" w:color="00B7E5"/>
            </w:tcBorders>
            <w:vAlign w:val="center"/>
            <w:hideMark/>
          </w:tcPr>
          <w:p w14:paraId="238BA35D" w14:textId="77777777" w:rsidR="00BC6152" w:rsidRDefault="00BC6152" w:rsidP="006F1030">
            <w:pPr>
              <w:rPr>
                <w:sz w:val="20"/>
                <w:szCs w:val="20"/>
              </w:rPr>
            </w:pPr>
            <w:r>
              <w:rPr>
                <w:sz w:val="20"/>
                <w:szCs w:val="20"/>
              </w:rPr>
              <w:t>SMP and Annual Reporting (extra line)</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3F06DC0F" w14:textId="77777777" w:rsidR="00BC6152" w:rsidRDefault="00BC6152" w:rsidP="006F1030">
            <w:pPr>
              <w:rPr>
                <w:sz w:val="20"/>
                <w:szCs w:val="20"/>
              </w:rPr>
            </w:pPr>
            <w:r>
              <w:rPr>
                <w:sz w:val="20"/>
                <w:szCs w:val="20"/>
              </w:rPr>
              <w:t xml:space="preserve"> Evaluate and support</w:t>
            </w:r>
          </w:p>
        </w:tc>
        <w:tc>
          <w:tcPr>
            <w:tcW w:w="699" w:type="dxa"/>
            <w:tcBorders>
              <w:top w:val="single" w:sz="4" w:space="0" w:color="00B7E5"/>
              <w:left w:val="single" w:sz="4" w:space="0" w:color="00B7E5"/>
              <w:bottom w:val="single" w:sz="4" w:space="0" w:color="00B7E5"/>
              <w:right w:val="single" w:sz="4" w:space="0" w:color="00B7E5"/>
            </w:tcBorders>
          </w:tcPr>
          <w:p w14:paraId="05350AE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5EF04FD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4345BC6"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7B1A54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651D7EC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795CC7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8D2F80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0831BB6"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60CADACC" w14:textId="77777777" w:rsidR="00BC6152" w:rsidRDefault="00BC6152" w:rsidP="006F1030">
            <w:pPr>
              <w:rPr>
                <w:sz w:val="20"/>
                <w:szCs w:val="20"/>
              </w:rPr>
            </w:pPr>
          </w:p>
        </w:tc>
      </w:tr>
      <w:tr w:rsidR="00BC6152" w14:paraId="72E5244F"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tcPr>
          <w:p w14:paraId="5962C7A6"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3D9207D7" w14:textId="77777777" w:rsidR="00BC6152" w:rsidRDefault="00BC6152" w:rsidP="006F1030">
            <w:pPr>
              <w:rPr>
                <w:sz w:val="20"/>
                <w:szCs w:val="20"/>
              </w:rPr>
            </w:pPr>
            <w:r>
              <w:rPr>
                <w:sz w:val="20"/>
                <w:szCs w:val="20"/>
              </w:rPr>
              <w:t>Annual Reporting on harbour seal and grey seal population</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2643A976" w14:textId="77777777" w:rsidR="00BC6152" w:rsidRDefault="00BC6152" w:rsidP="006F1030">
            <w:pPr>
              <w:rPr>
                <w:sz w:val="20"/>
                <w:szCs w:val="20"/>
              </w:rPr>
            </w:pPr>
            <w:r>
              <w:rPr>
                <w:sz w:val="20"/>
                <w:szCs w:val="20"/>
              </w:rPr>
              <w:t>Oversee</w:t>
            </w:r>
          </w:p>
        </w:tc>
        <w:tc>
          <w:tcPr>
            <w:tcW w:w="699" w:type="dxa"/>
            <w:tcBorders>
              <w:top w:val="single" w:sz="4" w:space="0" w:color="00B7E5"/>
              <w:left w:val="single" w:sz="4" w:space="0" w:color="00B7E5"/>
              <w:bottom w:val="single" w:sz="4" w:space="0" w:color="00B7E5"/>
              <w:right w:val="single" w:sz="4" w:space="0" w:color="00B7E5"/>
            </w:tcBorders>
          </w:tcPr>
          <w:p w14:paraId="0CC8CBF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E4684A0"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25AAE30"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hideMark/>
          </w:tcPr>
          <w:p w14:paraId="2BD94CE4" w14:textId="77777777" w:rsidR="00BC6152" w:rsidRDefault="00BC6152" w:rsidP="006F1030">
            <w:pPr>
              <w:rPr>
                <w:sz w:val="20"/>
                <w:szCs w:val="20"/>
              </w:rPr>
            </w:pPr>
            <w:r>
              <w:rPr>
                <w:sz w:val="20"/>
                <w:szCs w:val="20"/>
              </w:rPr>
              <w:t>1 -grey seals</w:t>
            </w:r>
          </w:p>
        </w:tc>
        <w:tc>
          <w:tcPr>
            <w:tcW w:w="699" w:type="dxa"/>
            <w:tcBorders>
              <w:top w:val="single" w:sz="4" w:space="0" w:color="00B7E5"/>
              <w:left w:val="nil"/>
              <w:bottom w:val="single" w:sz="4" w:space="0" w:color="00B7E5"/>
              <w:right w:val="single" w:sz="4" w:space="0" w:color="00B7E5"/>
            </w:tcBorders>
          </w:tcPr>
          <w:p w14:paraId="4A679E6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43555AD"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D24896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hideMark/>
          </w:tcPr>
          <w:p w14:paraId="4DB890DB" w14:textId="77777777" w:rsidR="00BC6152" w:rsidRDefault="00BC6152" w:rsidP="006F1030">
            <w:pPr>
              <w:rPr>
                <w:sz w:val="20"/>
                <w:szCs w:val="20"/>
              </w:rPr>
            </w:pPr>
            <w:r>
              <w:rPr>
                <w:sz w:val="20"/>
                <w:szCs w:val="20"/>
              </w:rPr>
              <w:t xml:space="preserve">1 - </w:t>
            </w:r>
            <w:proofErr w:type="spellStart"/>
            <w:r>
              <w:rPr>
                <w:sz w:val="20"/>
                <w:szCs w:val="20"/>
              </w:rPr>
              <w:t>harb</w:t>
            </w:r>
            <w:proofErr w:type="spellEnd"/>
            <w:r>
              <w:rPr>
                <w:sz w:val="20"/>
                <w:szCs w:val="20"/>
              </w:rPr>
              <w:t>.</w:t>
            </w:r>
          </w:p>
          <w:p w14:paraId="3C9A0A3C" w14:textId="77777777" w:rsidR="00BC6152" w:rsidRDefault="00BC6152" w:rsidP="006F1030">
            <w:pPr>
              <w:rPr>
                <w:sz w:val="20"/>
                <w:szCs w:val="20"/>
              </w:rPr>
            </w:pPr>
            <w:r>
              <w:rPr>
                <w:sz w:val="20"/>
                <w:szCs w:val="20"/>
              </w:rPr>
              <w:t>seals</w:t>
            </w:r>
          </w:p>
        </w:tc>
        <w:tc>
          <w:tcPr>
            <w:tcW w:w="699" w:type="dxa"/>
            <w:tcBorders>
              <w:top w:val="single" w:sz="4" w:space="0" w:color="00B7E5"/>
              <w:left w:val="nil"/>
              <w:bottom w:val="single" w:sz="4" w:space="0" w:color="00B7E5"/>
              <w:right w:val="single" w:sz="4" w:space="0" w:color="00B7E5"/>
            </w:tcBorders>
          </w:tcPr>
          <w:p w14:paraId="7C87701E" w14:textId="77777777" w:rsidR="00BC6152" w:rsidRDefault="00BC6152" w:rsidP="006F1030">
            <w:pPr>
              <w:rPr>
                <w:sz w:val="20"/>
                <w:szCs w:val="20"/>
              </w:rPr>
            </w:pPr>
          </w:p>
        </w:tc>
      </w:tr>
      <w:tr w:rsidR="00BC6152" w14:paraId="0AE3DC9C"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5BAEDCD0" w14:textId="77777777" w:rsidR="00BC6152" w:rsidRDefault="00BC6152" w:rsidP="006F1030">
            <w:pPr>
              <w:rPr>
                <w:sz w:val="20"/>
                <w:szCs w:val="20"/>
              </w:rPr>
            </w:pPr>
            <w:r>
              <w:rPr>
                <w:sz w:val="20"/>
                <w:szCs w:val="20"/>
              </w:rPr>
              <w:t>16. Harbour porpoises</w:t>
            </w:r>
          </w:p>
        </w:tc>
        <w:tc>
          <w:tcPr>
            <w:tcW w:w="3290" w:type="dxa"/>
            <w:tcBorders>
              <w:top w:val="single" w:sz="4" w:space="0" w:color="00B7E5"/>
              <w:left w:val="nil"/>
              <w:bottom w:val="single" w:sz="4" w:space="0" w:color="00B7E5"/>
              <w:right w:val="single" w:sz="4" w:space="0" w:color="00B7E5"/>
            </w:tcBorders>
            <w:vAlign w:val="center"/>
            <w:hideMark/>
          </w:tcPr>
          <w:p w14:paraId="5E5A09FA" w14:textId="77777777" w:rsidR="00BC6152" w:rsidRDefault="00BC6152" w:rsidP="006F1030">
            <w:pPr>
              <w:rPr>
                <w:sz w:val="20"/>
                <w:szCs w:val="20"/>
              </w:rPr>
            </w:pPr>
            <w:r>
              <w:rPr>
                <w:sz w:val="20"/>
                <w:szCs w:val="20"/>
              </w:rPr>
              <w:t>Harbour porpoise Symposium /Workshop</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3F3DA3AC" w14:textId="77777777" w:rsidR="00BC6152" w:rsidRDefault="00BC6152" w:rsidP="006F1030">
            <w:pPr>
              <w:rPr>
                <w:sz w:val="20"/>
                <w:szCs w:val="20"/>
              </w:rPr>
            </w:pPr>
            <w:r>
              <w:rPr>
                <w:sz w:val="20"/>
                <w:szCs w:val="20"/>
              </w:rPr>
              <w:t>Observe and evaluate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hideMark/>
          </w:tcPr>
          <w:p w14:paraId="3ABCCDE2" w14:textId="77777777" w:rsidR="00BC6152" w:rsidRDefault="00BC6152" w:rsidP="006F1030">
            <w:pPr>
              <w:rPr>
                <w:sz w:val="20"/>
                <w:szCs w:val="20"/>
              </w:rPr>
            </w:pPr>
            <w:r>
              <w:rPr>
                <w:sz w:val="20"/>
                <w:szCs w:val="20"/>
              </w:rPr>
              <w:t>11/12</w:t>
            </w: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8332D1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5E56C5D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41EFCEB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27DB5DD7"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25ABBC87"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486C3C1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7B4A2F45"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68046000" w14:textId="77777777" w:rsidR="00BC6152" w:rsidRDefault="00BC6152" w:rsidP="006F1030">
            <w:pPr>
              <w:rPr>
                <w:sz w:val="20"/>
                <w:szCs w:val="20"/>
              </w:rPr>
            </w:pPr>
          </w:p>
        </w:tc>
      </w:tr>
      <w:tr w:rsidR="00BC6152" w14:paraId="74FCEA39" w14:textId="77777777" w:rsidTr="004964B1">
        <w:trPr>
          <w:trHeight w:val="397"/>
        </w:trPr>
        <w:tc>
          <w:tcPr>
            <w:tcW w:w="3683" w:type="dxa"/>
            <w:vMerge w:val="restart"/>
            <w:tcBorders>
              <w:top w:val="single" w:sz="4" w:space="0" w:color="00B7E5"/>
              <w:left w:val="nil"/>
              <w:bottom w:val="single" w:sz="4" w:space="0" w:color="00B7E5"/>
              <w:right w:val="single" w:sz="4" w:space="0" w:color="00B7E5"/>
            </w:tcBorders>
            <w:vAlign w:val="center"/>
            <w:hideMark/>
          </w:tcPr>
          <w:p w14:paraId="629302C5" w14:textId="77777777" w:rsidR="00BC6152" w:rsidRDefault="00BC6152" w:rsidP="006F1030">
            <w:pPr>
              <w:rPr>
                <w:sz w:val="20"/>
                <w:szCs w:val="20"/>
              </w:rPr>
            </w:pPr>
            <w:r>
              <w:rPr>
                <w:sz w:val="20"/>
                <w:szCs w:val="20"/>
              </w:rPr>
              <w:t>17. Alien Species (MAPAS)</w:t>
            </w:r>
          </w:p>
        </w:tc>
        <w:tc>
          <w:tcPr>
            <w:tcW w:w="3290" w:type="dxa"/>
            <w:tcBorders>
              <w:top w:val="single" w:sz="4" w:space="0" w:color="00B7E5"/>
              <w:left w:val="nil"/>
              <w:bottom w:val="single" w:sz="4" w:space="0" w:color="00B7E5"/>
              <w:right w:val="single" w:sz="4" w:space="0" w:color="00B7E5"/>
            </w:tcBorders>
            <w:vAlign w:val="center"/>
            <w:hideMark/>
          </w:tcPr>
          <w:p w14:paraId="3CDE1EF3" w14:textId="77777777" w:rsidR="00BC6152" w:rsidRDefault="00BC6152" w:rsidP="006F1030">
            <w:pPr>
              <w:rPr>
                <w:sz w:val="20"/>
                <w:szCs w:val="20"/>
              </w:rPr>
            </w:pPr>
            <w:r>
              <w:rPr>
                <w:sz w:val="20"/>
                <w:szCs w:val="20"/>
              </w:rPr>
              <w:t>Adoption Final MAPAS (DONE)</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305632E2" w14:textId="77777777" w:rsidR="00BC6152" w:rsidRDefault="00BC6152" w:rsidP="006F1030">
            <w:pPr>
              <w:rPr>
                <w:sz w:val="20"/>
                <w:szCs w:val="20"/>
              </w:rPr>
            </w:pPr>
            <w:r>
              <w:rPr>
                <w:sz w:val="20"/>
                <w:szCs w:val="20"/>
              </w:rPr>
              <w:t>Observe and evaluate</w:t>
            </w:r>
          </w:p>
        </w:tc>
        <w:tc>
          <w:tcPr>
            <w:tcW w:w="699" w:type="dxa"/>
            <w:tcBorders>
              <w:top w:val="single" w:sz="4" w:space="0" w:color="00B7E5"/>
              <w:left w:val="single" w:sz="4" w:space="0" w:color="00B7E5"/>
              <w:bottom w:val="single" w:sz="4" w:space="0" w:color="00B7E5"/>
              <w:right w:val="single" w:sz="4" w:space="0" w:color="00B7E5"/>
            </w:tcBorders>
          </w:tcPr>
          <w:p w14:paraId="75EAE37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4F2429A3"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395E260F"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6BE6F11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5BC629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771FF7B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206F7A7B"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6FBA875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61E6F975" w14:textId="77777777" w:rsidR="00BC6152" w:rsidRDefault="00BC6152" w:rsidP="006F1030">
            <w:pPr>
              <w:rPr>
                <w:sz w:val="20"/>
                <w:szCs w:val="20"/>
              </w:rPr>
            </w:pPr>
          </w:p>
        </w:tc>
      </w:tr>
      <w:tr w:rsidR="00BC6152" w14:paraId="3CC61B79" w14:textId="77777777" w:rsidTr="004964B1">
        <w:trPr>
          <w:trHeight w:val="397"/>
        </w:trPr>
        <w:tc>
          <w:tcPr>
            <w:tcW w:w="3683" w:type="dxa"/>
            <w:vMerge/>
            <w:tcBorders>
              <w:top w:val="single" w:sz="4" w:space="0" w:color="00B7E5"/>
              <w:left w:val="nil"/>
              <w:bottom w:val="single" w:sz="4" w:space="0" w:color="00B7E5"/>
              <w:right w:val="single" w:sz="4" w:space="0" w:color="00B7E5"/>
            </w:tcBorders>
            <w:vAlign w:val="center"/>
            <w:hideMark/>
          </w:tcPr>
          <w:p w14:paraId="25B27C0D"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4B4DD590" w14:textId="77777777" w:rsidR="00BC6152" w:rsidRDefault="00BC6152" w:rsidP="006F1030">
            <w:pPr>
              <w:rPr>
                <w:sz w:val="20"/>
                <w:szCs w:val="20"/>
              </w:rPr>
            </w:pPr>
            <w:r>
              <w:rPr>
                <w:sz w:val="20"/>
                <w:szCs w:val="20"/>
              </w:rPr>
              <w:t>ToR and Workplan for EG Alien Species</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0406E329" w14:textId="77777777" w:rsidR="00BC6152" w:rsidRDefault="00BC6152" w:rsidP="006F1030">
            <w:pPr>
              <w:rPr>
                <w:sz w:val="20"/>
                <w:szCs w:val="20"/>
              </w:rPr>
            </w:pPr>
            <w:r>
              <w:rPr>
                <w:sz w:val="20"/>
                <w:szCs w:val="20"/>
              </w:rPr>
              <w:t>Observe and evaluate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17455A5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5AA66E4D"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3DE2658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315CBE1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4DF4282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2AB45C4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64458F1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5B8E9FF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099BE5A8" w14:textId="77777777" w:rsidR="00BC6152" w:rsidRDefault="00BC6152" w:rsidP="006F1030">
            <w:pPr>
              <w:rPr>
                <w:sz w:val="20"/>
                <w:szCs w:val="20"/>
              </w:rPr>
            </w:pPr>
          </w:p>
        </w:tc>
      </w:tr>
      <w:tr w:rsidR="00BC6152" w14:paraId="600B8713" w14:textId="77777777" w:rsidTr="004964B1">
        <w:trPr>
          <w:trHeight w:val="397"/>
        </w:trPr>
        <w:tc>
          <w:tcPr>
            <w:tcW w:w="3683" w:type="dxa"/>
            <w:vMerge/>
            <w:tcBorders>
              <w:top w:val="single" w:sz="4" w:space="0" w:color="00B7E5"/>
              <w:left w:val="nil"/>
              <w:bottom w:val="single" w:sz="4" w:space="0" w:color="00B7E5"/>
              <w:right w:val="single" w:sz="4" w:space="0" w:color="00B7E5"/>
            </w:tcBorders>
            <w:vAlign w:val="center"/>
            <w:hideMark/>
          </w:tcPr>
          <w:p w14:paraId="1718C8B3"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2CD84967" w14:textId="77777777" w:rsidR="00BC6152" w:rsidRDefault="00BC6152" w:rsidP="006F1030">
            <w:pPr>
              <w:rPr>
                <w:sz w:val="20"/>
                <w:szCs w:val="20"/>
              </w:rPr>
            </w:pPr>
            <w:r>
              <w:rPr>
                <w:sz w:val="20"/>
                <w:szCs w:val="20"/>
              </w:rPr>
              <w:t xml:space="preserve">Contribution to trilateral communication strategy </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0084CE1D" w14:textId="77777777" w:rsidR="00BC6152" w:rsidRDefault="00BC6152" w:rsidP="006F1030">
            <w:pPr>
              <w:rPr>
                <w:sz w:val="20"/>
                <w:szCs w:val="20"/>
              </w:rPr>
            </w:pPr>
            <w:r>
              <w:rPr>
                <w:sz w:val="20"/>
                <w:szCs w:val="20"/>
              </w:rPr>
              <w:t>Observe and evaluate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1E3CBE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1B1264EB"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2BB63DFC"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974B6F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5D9CE03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6652671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24911D5"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483DC84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5386872" w14:textId="77777777" w:rsidR="00BC6152" w:rsidRDefault="00BC6152" w:rsidP="006F1030">
            <w:pPr>
              <w:rPr>
                <w:sz w:val="20"/>
                <w:szCs w:val="20"/>
              </w:rPr>
            </w:pPr>
          </w:p>
        </w:tc>
      </w:tr>
      <w:tr w:rsidR="00BC6152" w14:paraId="1B0CD10C" w14:textId="77777777" w:rsidTr="004964B1">
        <w:trPr>
          <w:trHeight w:val="397"/>
        </w:trPr>
        <w:tc>
          <w:tcPr>
            <w:tcW w:w="3683" w:type="dxa"/>
            <w:vMerge w:val="restart"/>
            <w:tcBorders>
              <w:top w:val="single" w:sz="4" w:space="0" w:color="00B7E5"/>
              <w:left w:val="nil"/>
              <w:bottom w:val="single" w:sz="4" w:space="0" w:color="00B7E5"/>
              <w:right w:val="single" w:sz="4" w:space="0" w:color="00B7E5"/>
            </w:tcBorders>
            <w:vAlign w:val="center"/>
            <w:hideMark/>
          </w:tcPr>
          <w:p w14:paraId="3549BD71" w14:textId="77777777" w:rsidR="00BC6152" w:rsidRDefault="00BC6152" w:rsidP="006F1030">
            <w:pPr>
              <w:rPr>
                <w:sz w:val="20"/>
                <w:szCs w:val="20"/>
              </w:rPr>
            </w:pPr>
            <w:r>
              <w:rPr>
                <w:sz w:val="20"/>
                <w:szCs w:val="20"/>
              </w:rPr>
              <w:t>20. Quality Status Report</w:t>
            </w:r>
          </w:p>
        </w:tc>
        <w:tc>
          <w:tcPr>
            <w:tcW w:w="3290" w:type="dxa"/>
            <w:tcBorders>
              <w:top w:val="single" w:sz="4" w:space="0" w:color="00B7E5"/>
              <w:left w:val="nil"/>
              <w:bottom w:val="single" w:sz="4" w:space="0" w:color="00B7E5"/>
              <w:right w:val="single" w:sz="4" w:space="0" w:color="00B7E5"/>
            </w:tcBorders>
            <w:vAlign w:val="center"/>
            <w:hideMark/>
          </w:tcPr>
          <w:p w14:paraId="68F57436" w14:textId="77777777" w:rsidR="00BC6152" w:rsidRDefault="00BC6152" w:rsidP="006F1030">
            <w:pPr>
              <w:rPr>
                <w:sz w:val="20"/>
                <w:szCs w:val="20"/>
              </w:rPr>
            </w:pPr>
            <w:r>
              <w:rPr>
                <w:sz w:val="20"/>
                <w:szCs w:val="20"/>
              </w:rPr>
              <w:t>QSR Synthesis (2018)</w:t>
            </w:r>
            <w:r>
              <w:rPr>
                <w:rStyle w:val="Funotenzeichen"/>
                <w:sz w:val="20"/>
                <w:szCs w:val="20"/>
              </w:rPr>
              <w:footnoteReference w:id="3"/>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2B78257E" w14:textId="77777777" w:rsidR="00BC6152" w:rsidRDefault="00BC6152" w:rsidP="006F1030">
            <w:pPr>
              <w:rPr>
                <w:sz w:val="20"/>
                <w:szCs w:val="20"/>
              </w:rPr>
            </w:pPr>
            <w:r>
              <w:rPr>
                <w:sz w:val="20"/>
                <w:szCs w:val="20"/>
              </w:rPr>
              <w:t>Support</w:t>
            </w:r>
          </w:p>
        </w:tc>
        <w:tc>
          <w:tcPr>
            <w:tcW w:w="699" w:type="dxa"/>
            <w:tcBorders>
              <w:top w:val="single" w:sz="4" w:space="0" w:color="00B7E5"/>
              <w:left w:val="single" w:sz="4" w:space="0" w:color="00B7E5"/>
              <w:bottom w:val="single" w:sz="4" w:space="0" w:color="00B7E5"/>
              <w:right w:val="single" w:sz="4" w:space="0" w:color="00B7E5"/>
            </w:tcBorders>
          </w:tcPr>
          <w:p w14:paraId="3B431F8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91C4B57"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6D831A46"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5993EF2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B4BAC6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4120B19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E4A027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84C63F2"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45A30BE9" w14:textId="77777777" w:rsidR="00BC6152" w:rsidRDefault="00BC6152" w:rsidP="006F1030">
            <w:pPr>
              <w:rPr>
                <w:sz w:val="20"/>
                <w:szCs w:val="20"/>
              </w:rPr>
            </w:pPr>
          </w:p>
        </w:tc>
      </w:tr>
      <w:tr w:rsidR="00BC6152" w14:paraId="731E2E77" w14:textId="77777777" w:rsidTr="004964B1">
        <w:trPr>
          <w:trHeight w:val="397"/>
        </w:trPr>
        <w:tc>
          <w:tcPr>
            <w:tcW w:w="3683" w:type="dxa"/>
            <w:vMerge/>
            <w:tcBorders>
              <w:top w:val="single" w:sz="4" w:space="0" w:color="00B7E5"/>
              <w:left w:val="nil"/>
              <w:bottom w:val="single" w:sz="4" w:space="0" w:color="00B7E5"/>
              <w:right w:val="single" w:sz="4" w:space="0" w:color="00B7E5"/>
            </w:tcBorders>
            <w:vAlign w:val="center"/>
            <w:hideMark/>
          </w:tcPr>
          <w:p w14:paraId="55BC864F" w14:textId="77777777" w:rsidR="00BC6152" w:rsidRDefault="00BC6152" w:rsidP="006F1030">
            <w:pPr>
              <w:rPr>
                <w:sz w:val="20"/>
                <w:szCs w:val="20"/>
              </w:rPr>
            </w:pPr>
          </w:p>
        </w:tc>
        <w:tc>
          <w:tcPr>
            <w:tcW w:w="3290" w:type="dxa"/>
            <w:tcBorders>
              <w:top w:val="single" w:sz="4" w:space="0" w:color="00B7E5"/>
              <w:left w:val="nil"/>
              <w:bottom w:val="single" w:sz="4" w:space="0" w:color="00B7E5"/>
              <w:right w:val="single" w:sz="4" w:space="0" w:color="00B7E5"/>
            </w:tcBorders>
            <w:vAlign w:val="center"/>
            <w:hideMark/>
          </w:tcPr>
          <w:p w14:paraId="3C797372" w14:textId="77777777" w:rsidR="00BC6152" w:rsidRDefault="00BC6152" w:rsidP="006F1030">
            <w:pPr>
              <w:rPr>
                <w:sz w:val="20"/>
                <w:szCs w:val="20"/>
              </w:rPr>
            </w:pPr>
            <w:r>
              <w:rPr>
                <w:sz w:val="20"/>
                <w:szCs w:val="20"/>
              </w:rPr>
              <w:t xml:space="preserve">Draft Proposal for next QSR </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1A4EA1BA" w14:textId="77777777" w:rsidR="00BC6152" w:rsidRDefault="00BC6152" w:rsidP="006F1030">
            <w:pPr>
              <w:rPr>
                <w:sz w:val="20"/>
                <w:szCs w:val="20"/>
              </w:rPr>
            </w:pPr>
            <w:r>
              <w:rPr>
                <w:sz w:val="20"/>
                <w:szCs w:val="20"/>
              </w:rPr>
              <w:t>Responsible</w:t>
            </w:r>
          </w:p>
        </w:tc>
        <w:tc>
          <w:tcPr>
            <w:tcW w:w="699" w:type="dxa"/>
            <w:tcBorders>
              <w:top w:val="single" w:sz="4" w:space="0" w:color="00B7E5"/>
              <w:left w:val="single" w:sz="4" w:space="0" w:color="00B7E5"/>
              <w:bottom w:val="single" w:sz="4" w:space="0" w:color="00B7E5"/>
              <w:right w:val="single" w:sz="4" w:space="0" w:color="00B7E5"/>
            </w:tcBorders>
          </w:tcPr>
          <w:p w14:paraId="559F10B8"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52514CD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13FEBB51"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2E64BDA9"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69CCCED0"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7126FA45"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7F5C1ACE"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B7D46D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6013CFF7" w14:textId="77777777" w:rsidR="00BC6152" w:rsidRDefault="00BC6152" w:rsidP="006F1030">
            <w:pPr>
              <w:rPr>
                <w:sz w:val="20"/>
                <w:szCs w:val="20"/>
              </w:rPr>
            </w:pPr>
          </w:p>
        </w:tc>
      </w:tr>
      <w:tr w:rsidR="00BC6152" w14:paraId="1D9BAC95"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67E96F1C" w14:textId="77777777" w:rsidR="00BC6152" w:rsidRDefault="00BC6152" w:rsidP="006F1030">
            <w:pPr>
              <w:rPr>
                <w:sz w:val="20"/>
                <w:szCs w:val="20"/>
              </w:rPr>
            </w:pPr>
            <w:r>
              <w:rPr>
                <w:sz w:val="20"/>
                <w:szCs w:val="20"/>
              </w:rPr>
              <w:t>[21. Sustainable fisheries]</w:t>
            </w:r>
          </w:p>
        </w:tc>
        <w:tc>
          <w:tcPr>
            <w:tcW w:w="3290" w:type="dxa"/>
            <w:tcBorders>
              <w:top w:val="single" w:sz="4" w:space="0" w:color="00B7E5"/>
              <w:left w:val="nil"/>
              <w:bottom w:val="single" w:sz="4" w:space="0" w:color="00B7E5"/>
              <w:right w:val="single" w:sz="4" w:space="0" w:color="00B7E5"/>
            </w:tcBorders>
            <w:vAlign w:val="center"/>
            <w:hideMark/>
          </w:tcPr>
          <w:p w14:paraId="015863F6" w14:textId="77777777" w:rsidR="00BC6152" w:rsidRDefault="00BC6152" w:rsidP="006F1030">
            <w:pPr>
              <w:rPr>
                <w:sz w:val="20"/>
                <w:szCs w:val="20"/>
              </w:rPr>
            </w:pPr>
            <w:r>
              <w:rPr>
                <w:sz w:val="20"/>
                <w:szCs w:val="20"/>
              </w:rPr>
              <w:t>Update of existing trilateral documents</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36FF7F3A" w14:textId="77777777" w:rsidR="00BC6152" w:rsidRDefault="00BC6152" w:rsidP="006F1030">
            <w:pPr>
              <w:rPr>
                <w:sz w:val="20"/>
                <w:szCs w:val="20"/>
              </w:rPr>
            </w:pPr>
            <w:r>
              <w:rPr>
                <w:sz w:val="20"/>
                <w:szCs w:val="20"/>
              </w:rPr>
              <w:t>Responsible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02C0AA05"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34472782"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28C367B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6B6EBEE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29DB10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469E2E8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3D6C56C6"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049C054"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863F430" w14:textId="77777777" w:rsidR="00BC6152" w:rsidRDefault="00BC6152" w:rsidP="006F1030">
            <w:pPr>
              <w:rPr>
                <w:sz w:val="20"/>
                <w:szCs w:val="20"/>
              </w:rPr>
            </w:pPr>
          </w:p>
        </w:tc>
      </w:tr>
      <w:tr w:rsidR="00BC6152" w14:paraId="3EF74057"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78389B81" w14:textId="77777777" w:rsidR="00BC6152" w:rsidRDefault="00BC6152" w:rsidP="006F1030">
            <w:pPr>
              <w:rPr>
                <w:sz w:val="20"/>
                <w:szCs w:val="20"/>
              </w:rPr>
            </w:pPr>
            <w:r>
              <w:rPr>
                <w:sz w:val="20"/>
                <w:szCs w:val="20"/>
              </w:rPr>
              <w:t>[22.-23 Marine litter]</w:t>
            </w:r>
          </w:p>
        </w:tc>
        <w:tc>
          <w:tcPr>
            <w:tcW w:w="3290" w:type="dxa"/>
            <w:tcBorders>
              <w:top w:val="single" w:sz="4" w:space="0" w:color="00B7E5"/>
              <w:left w:val="nil"/>
              <w:bottom w:val="single" w:sz="4" w:space="0" w:color="00B7E5"/>
              <w:right w:val="single" w:sz="4" w:space="0" w:color="00B7E5"/>
            </w:tcBorders>
            <w:vAlign w:val="center"/>
            <w:hideMark/>
          </w:tcPr>
          <w:p w14:paraId="2EB299BA" w14:textId="77777777" w:rsidR="00BC6152" w:rsidRDefault="00BC6152" w:rsidP="006F1030">
            <w:pPr>
              <w:rPr>
                <w:sz w:val="20"/>
                <w:szCs w:val="20"/>
              </w:rPr>
            </w:pPr>
            <w:r>
              <w:rPr>
                <w:sz w:val="20"/>
                <w:szCs w:val="20"/>
              </w:rPr>
              <w:t>Inventory on activities</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14C043C6" w14:textId="77777777" w:rsidR="00BC6152" w:rsidRDefault="00BC6152" w:rsidP="006F1030">
            <w:pPr>
              <w:rPr>
                <w:sz w:val="20"/>
                <w:szCs w:val="20"/>
              </w:rPr>
            </w:pPr>
            <w:r>
              <w:rPr>
                <w:sz w:val="20"/>
                <w:szCs w:val="20"/>
              </w:rPr>
              <w:t>Support if needed/Ignition phase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2EF4B62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CFDE5D6"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33674ED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D491B2D"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8A44B3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1E73E5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4F4FB85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05FE3E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9B71040" w14:textId="77777777" w:rsidR="00BC6152" w:rsidRDefault="00BC6152" w:rsidP="006F1030">
            <w:pPr>
              <w:rPr>
                <w:sz w:val="20"/>
                <w:szCs w:val="20"/>
              </w:rPr>
            </w:pPr>
          </w:p>
        </w:tc>
      </w:tr>
      <w:tr w:rsidR="00BC6152" w14:paraId="2782A8CD"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2E6C2252" w14:textId="77777777" w:rsidR="00BC6152" w:rsidRDefault="00BC6152" w:rsidP="006F1030">
            <w:pPr>
              <w:rPr>
                <w:sz w:val="20"/>
                <w:szCs w:val="20"/>
              </w:rPr>
            </w:pPr>
            <w:r>
              <w:rPr>
                <w:sz w:val="20"/>
                <w:szCs w:val="20"/>
              </w:rPr>
              <w:t>[24. Light emissions]</w:t>
            </w:r>
          </w:p>
        </w:tc>
        <w:tc>
          <w:tcPr>
            <w:tcW w:w="3290" w:type="dxa"/>
            <w:tcBorders>
              <w:top w:val="single" w:sz="4" w:space="0" w:color="00B7E5"/>
              <w:left w:val="nil"/>
              <w:bottom w:val="single" w:sz="4" w:space="0" w:color="00B7E5"/>
              <w:right w:val="single" w:sz="4" w:space="0" w:color="00B7E5"/>
            </w:tcBorders>
            <w:vAlign w:val="center"/>
            <w:hideMark/>
          </w:tcPr>
          <w:p w14:paraId="056D8008" w14:textId="77777777" w:rsidR="00BC6152" w:rsidRDefault="00BC6152" w:rsidP="006F1030">
            <w:pPr>
              <w:rPr>
                <w:sz w:val="20"/>
                <w:szCs w:val="20"/>
              </w:rPr>
            </w:pPr>
            <w:r>
              <w:rPr>
                <w:sz w:val="20"/>
                <w:szCs w:val="20"/>
              </w:rPr>
              <w:t>Inventory on activities</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54D55705" w14:textId="77777777" w:rsidR="00BC6152" w:rsidRDefault="00BC6152" w:rsidP="006F1030">
            <w:pPr>
              <w:rPr>
                <w:sz w:val="20"/>
                <w:szCs w:val="20"/>
              </w:rPr>
            </w:pPr>
            <w:r>
              <w:rPr>
                <w:sz w:val="20"/>
                <w:szCs w:val="20"/>
              </w:rPr>
              <w:t>Observe/ support</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177849CA"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CB37E3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0CFE91F3"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D31DC24"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CD701C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F6C320A"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4C8A86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50F1AAD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6235080C" w14:textId="77777777" w:rsidR="00BC6152" w:rsidRDefault="00BC6152" w:rsidP="006F1030">
            <w:pPr>
              <w:rPr>
                <w:sz w:val="20"/>
                <w:szCs w:val="20"/>
              </w:rPr>
            </w:pPr>
          </w:p>
        </w:tc>
      </w:tr>
      <w:tr w:rsidR="00BC6152" w14:paraId="7DE0D44A"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5A927E4A" w14:textId="77777777" w:rsidR="00BC6152" w:rsidRDefault="00BC6152" w:rsidP="006F1030">
            <w:pPr>
              <w:rPr>
                <w:sz w:val="20"/>
                <w:szCs w:val="20"/>
              </w:rPr>
            </w:pPr>
            <w:r>
              <w:rPr>
                <w:sz w:val="20"/>
                <w:szCs w:val="20"/>
              </w:rPr>
              <w:t>[29. Renewable energy and its transportation]</w:t>
            </w:r>
          </w:p>
        </w:tc>
        <w:tc>
          <w:tcPr>
            <w:tcW w:w="3290" w:type="dxa"/>
            <w:tcBorders>
              <w:top w:val="single" w:sz="4" w:space="0" w:color="00B7E5"/>
              <w:left w:val="nil"/>
              <w:bottom w:val="single" w:sz="4" w:space="0" w:color="00B7E5"/>
              <w:right w:val="single" w:sz="4" w:space="0" w:color="00B7E5"/>
            </w:tcBorders>
            <w:vAlign w:val="center"/>
            <w:hideMark/>
          </w:tcPr>
          <w:p w14:paraId="4103B11A" w14:textId="77777777" w:rsidR="00BC6152" w:rsidRDefault="00BC6152" w:rsidP="006F1030">
            <w:pPr>
              <w:rPr>
                <w:sz w:val="20"/>
                <w:szCs w:val="20"/>
              </w:rPr>
            </w:pPr>
            <w:r>
              <w:rPr>
                <w:sz w:val="20"/>
                <w:szCs w:val="20"/>
              </w:rPr>
              <w:t>(Inventory study 2020)</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45AE1294" w14:textId="7685484A" w:rsidR="00BC6152" w:rsidRDefault="004964B1" w:rsidP="006F1030">
            <w:pPr>
              <w:rPr>
                <w:sz w:val="20"/>
                <w:szCs w:val="20"/>
              </w:rPr>
            </w:pPr>
            <w:r>
              <w:rPr>
                <w:sz w:val="20"/>
                <w:szCs w:val="20"/>
              </w:rPr>
              <w:t>Support</w:t>
            </w:r>
          </w:p>
        </w:tc>
        <w:tc>
          <w:tcPr>
            <w:tcW w:w="699" w:type="dxa"/>
            <w:tcBorders>
              <w:top w:val="single" w:sz="4" w:space="0" w:color="00B7E5"/>
              <w:left w:val="single" w:sz="4" w:space="0" w:color="00B7E5"/>
              <w:bottom w:val="single" w:sz="4" w:space="0" w:color="00B7E5"/>
              <w:right w:val="single" w:sz="4" w:space="0" w:color="00B7E5"/>
            </w:tcBorders>
          </w:tcPr>
          <w:p w14:paraId="420B9354"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511FD60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D61D20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CC4604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54AEE4BA"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5489985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DA673E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5BA7D5A"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E67C441" w14:textId="77777777" w:rsidR="00BC6152" w:rsidRDefault="00BC6152" w:rsidP="006F1030">
            <w:pPr>
              <w:rPr>
                <w:sz w:val="20"/>
                <w:szCs w:val="20"/>
              </w:rPr>
            </w:pPr>
          </w:p>
        </w:tc>
      </w:tr>
      <w:tr w:rsidR="00BC6152" w14:paraId="3A7FEF9C"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353D238E" w14:textId="77777777" w:rsidR="00BC6152" w:rsidRDefault="00BC6152" w:rsidP="006F1030">
            <w:pPr>
              <w:rPr>
                <w:sz w:val="20"/>
                <w:szCs w:val="20"/>
              </w:rPr>
            </w:pPr>
            <w:r>
              <w:rPr>
                <w:sz w:val="20"/>
                <w:szCs w:val="20"/>
              </w:rPr>
              <w:t>[31. Sustainable modes of transport - Shipping]</w:t>
            </w:r>
          </w:p>
        </w:tc>
        <w:tc>
          <w:tcPr>
            <w:tcW w:w="3290" w:type="dxa"/>
            <w:tcBorders>
              <w:top w:val="single" w:sz="4" w:space="0" w:color="00B7E5"/>
              <w:left w:val="nil"/>
              <w:bottom w:val="single" w:sz="4" w:space="0" w:color="00B7E5"/>
              <w:right w:val="single" w:sz="4" w:space="0" w:color="00B7E5"/>
            </w:tcBorders>
            <w:vAlign w:val="center"/>
            <w:hideMark/>
          </w:tcPr>
          <w:p w14:paraId="0589BE0E" w14:textId="77777777" w:rsidR="00BC6152" w:rsidRDefault="00BC6152" w:rsidP="006F1030">
            <w:pPr>
              <w:rPr>
                <w:sz w:val="20"/>
                <w:szCs w:val="20"/>
              </w:rPr>
            </w:pPr>
            <w:r>
              <w:rPr>
                <w:sz w:val="20"/>
                <w:szCs w:val="20"/>
              </w:rPr>
              <w:t>WSF Report</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104CCCCC" w14:textId="77777777" w:rsidR="00BC6152" w:rsidRDefault="00BC6152" w:rsidP="006F1030">
            <w:pPr>
              <w:rPr>
                <w:sz w:val="20"/>
                <w:szCs w:val="20"/>
              </w:rPr>
            </w:pPr>
            <w:r>
              <w:rPr>
                <w:sz w:val="20"/>
                <w:szCs w:val="20"/>
              </w:rPr>
              <w:t>Observe</w:t>
            </w:r>
          </w:p>
        </w:tc>
        <w:tc>
          <w:tcPr>
            <w:tcW w:w="699" w:type="dxa"/>
            <w:tcBorders>
              <w:top w:val="single" w:sz="4" w:space="0" w:color="00B7E5"/>
              <w:left w:val="single" w:sz="4" w:space="0" w:color="00B7E5"/>
              <w:bottom w:val="single" w:sz="4" w:space="0" w:color="00B7E5"/>
              <w:right w:val="single" w:sz="4" w:space="0" w:color="00B7E5"/>
            </w:tcBorders>
          </w:tcPr>
          <w:p w14:paraId="6D5959F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17DC565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7AE9B8C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73635ED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63A84A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E008C3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61093C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5029CDA"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10482353" w14:textId="77777777" w:rsidR="00BC6152" w:rsidRDefault="00BC6152" w:rsidP="006F1030">
            <w:pPr>
              <w:rPr>
                <w:sz w:val="20"/>
                <w:szCs w:val="20"/>
              </w:rPr>
            </w:pPr>
          </w:p>
        </w:tc>
      </w:tr>
      <w:tr w:rsidR="00BC6152" w14:paraId="03677819"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5917FFF3" w14:textId="77777777" w:rsidR="00BC6152" w:rsidRDefault="00BC6152" w:rsidP="006F1030">
            <w:pPr>
              <w:rPr>
                <w:sz w:val="20"/>
                <w:szCs w:val="20"/>
              </w:rPr>
            </w:pPr>
            <w:r>
              <w:rPr>
                <w:sz w:val="20"/>
                <w:szCs w:val="20"/>
              </w:rPr>
              <w:lastRenderedPageBreak/>
              <w:t>[36. Trilateral Research Agenda (TRA)]</w:t>
            </w:r>
          </w:p>
        </w:tc>
        <w:tc>
          <w:tcPr>
            <w:tcW w:w="3290" w:type="dxa"/>
            <w:tcBorders>
              <w:top w:val="single" w:sz="4" w:space="0" w:color="00B7E5"/>
              <w:left w:val="nil"/>
              <w:bottom w:val="single" w:sz="4" w:space="0" w:color="00B7E5"/>
              <w:right w:val="single" w:sz="4" w:space="0" w:color="00B7E5"/>
            </w:tcBorders>
            <w:vAlign w:val="center"/>
            <w:hideMark/>
          </w:tcPr>
          <w:p w14:paraId="08C2E3AC" w14:textId="77777777" w:rsidR="00BC6152" w:rsidRDefault="00BC6152" w:rsidP="006F1030">
            <w:pPr>
              <w:rPr>
                <w:sz w:val="20"/>
                <w:szCs w:val="20"/>
              </w:rPr>
            </w:pPr>
            <w:r>
              <w:rPr>
                <w:sz w:val="20"/>
                <w:szCs w:val="20"/>
              </w:rPr>
              <w:t>Installation of TRA Programme Committee</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37A50185" w14:textId="77777777" w:rsidR="00BC6152" w:rsidRDefault="00BC6152" w:rsidP="006F1030">
            <w:pPr>
              <w:rPr>
                <w:sz w:val="20"/>
                <w:szCs w:val="20"/>
              </w:rPr>
            </w:pPr>
            <w:r>
              <w:rPr>
                <w:sz w:val="20"/>
                <w:szCs w:val="20"/>
              </w:rPr>
              <w:t>Support</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50382275"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48EC5DD"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44495D37"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4D89EE15"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F7F7312"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176E5268"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7E5C2396"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FCE4075"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168B91DD" w14:textId="77777777" w:rsidR="00BC6152" w:rsidRDefault="00BC6152" w:rsidP="006F1030">
            <w:pPr>
              <w:rPr>
                <w:sz w:val="20"/>
                <w:szCs w:val="20"/>
              </w:rPr>
            </w:pPr>
          </w:p>
        </w:tc>
      </w:tr>
      <w:tr w:rsidR="00BC6152" w14:paraId="661CA240"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3376FC06" w14:textId="77777777" w:rsidR="00BC6152" w:rsidRDefault="00BC6152" w:rsidP="006F1030">
            <w:pPr>
              <w:rPr>
                <w:sz w:val="20"/>
                <w:szCs w:val="20"/>
              </w:rPr>
            </w:pPr>
            <w:r>
              <w:rPr>
                <w:sz w:val="20"/>
                <w:szCs w:val="20"/>
              </w:rPr>
              <w:t>42. Review progress made on LD</w:t>
            </w:r>
          </w:p>
        </w:tc>
        <w:tc>
          <w:tcPr>
            <w:tcW w:w="3290" w:type="dxa"/>
            <w:tcBorders>
              <w:top w:val="single" w:sz="4" w:space="0" w:color="00B7E5"/>
              <w:left w:val="nil"/>
              <w:bottom w:val="single" w:sz="4" w:space="0" w:color="00B7E5"/>
              <w:right w:val="single" w:sz="4" w:space="0" w:color="00B7E5"/>
            </w:tcBorders>
            <w:vAlign w:val="center"/>
            <w:hideMark/>
          </w:tcPr>
          <w:p w14:paraId="76AF3AB5" w14:textId="77777777" w:rsidR="00BC6152" w:rsidRDefault="00BC6152" w:rsidP="006F1030">
            <w:pPr>
              <w:rPr>
                <w:sz w:val="20"/>
                <w:szCs w:val="20"/>
              </w:rPr>
            </w:pPr>
            <w:r>
              <w:rPr>
                <w:sz w:val="20"/>
                <w:szCs w:val="20"/>
              </w:rPr>
              <w:t>n/a 2019</w:t>
            </w:r>
          </w:p>
        </w:tc>
        <w:tc>
          <w:tcPr>
            <w:tcW w:w="1196" w:type="dxa"/>
            <w:tcBorders>
              <w:top w:val="single" w:sz="4" w:space="0" w:color="00B7E5"/>
              <w:left w:val="single" w:sz="4" w:space="0" w:color="00B7E5"/>
              <w:bottom w:val="single" w:sz="4" w:space="0" w:color="00B7E5"/>
              <w:right w:val="single" w:sz="4" w:space="0" w:color="00B7E5"/>
            </w:tcBorders>
            <w:vAlign w:val="center"/>
          </w:tcPr>
          <w:p w14:paraId="3B6C2B5D"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3FC86122"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54320B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7B4B756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18E4F274"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235F86D"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B882E7D"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26C306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B8A963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5EB1CD44" w14:textId="77777777" w:rsidR="00BC6152" w:rsidRDefault="00BC6152" w:rsidP="006F1030">
            <w:pPr>
              <w:rPr>
                <w:sz w:val="20"/>
                <w:szCs w:val="20"/>
              </w:rPr>
            </w:pPr>
          </w:p>
        </w:tc>
      </w:tr>
      <w:tr w:rsidR="00BC6152" w14:paraId="23D5128B"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73896C21" w14:textId="77777777" w:rsidR="00BC6152" w:rsidRDefault="00BC6152" w:rsidP="006F1030">
            <w:pPr>
              <w:rPr>
                <w:sz w:val="20"/>
                <w:szCs w:val="20"/>
              </w:rPr>
            </w:pPr>
            <w:r>
              <w:rPr>
                <w:sz w:val="20"/>
                <w:szCs w:val="20"/>
              </w:rPr>
              <w:t>44. 15th International Scientific Wadden Sea</w:t>
            </w:r>
          </w:p>
        </w:tc>
        <w:tc>
          <w:tcPr>
            <w:tcW w:w="3290" w:type="dxa"/>
            <w:tcBorders>
              <w:top w:val="single" w:sz="4" w:space="0" w:color="00B7E5"/>
              <w:left w:val="nil"/>
              <w:bottom w:val="single" w:sz="4" w:space="0" w:color="00B7E5"/>
              <w:right w:val="single" w:sz="4" w:space="0" w:color="00B7E5"/>
            </w:tcBorders>
            <w:vAlign w:val="center"/>
            <w:hideMark/>
          </w:tcPr>
          <w:p w14:paraId="7A0629FE" w14:textId="77777777" w:rsidR="00BC6152" w:rsidRDefault="00BC6152" w:rsidP="006F1030">
            <w:pPr>
              <w:rPr>
                <w:sz w:val="20"/>
                <w:szCs w:val="20"/>
              </w:rPr>
            </w:pPr>
            <w:r>
              <w:rPr>
                <w:sz w:val="20"/>
                <w:szCs w:val="20"/>
              </w:rPr>
              <w:t>n/a 2019</w:t>
            </w:r>
          </w:p>
        </w:tc>
        <w:tc>
          <w:tcPr>
            <w:tcW w:w="1196" w:type="dxa"/>
            <w:tcBorders>
              <w:top w:val="single" w:sz="4" w:space="0" w:color="00B7E5"/>
              <w:left w:val="single" w:sz="4" w:space="0" w:color="00B7E5"/>
              <w:bottom w:val="single" w:sz="4" w:space="0" w:color="00B7E5"/>
              <w:right w:val="single" w:sz="4" w:space="0" w:color="00B7E5"/>
            </w:tcBorders>
            <w:vAlign w:val="center"/>
          </w:tcPr>
          <w:p w14:paraId="5985E6CA" w14:textId="77777777" w:rsidR="00BC6152" w:rsidRDefault="00BC6152" w:rsidP="006F1030">
            <w:pPr>
              <w:rPr>
                <w:sz w:val="20"/>
                <w:szCs w:val="20"/>
              </w:rPr>
            </w:pPr>
          </w:p>
        </w:tc>
        <w:tc>
          <w:tcPr>
            <w:tcW w:w="699" w:type="dxa"/>
            <w:tcBorders>
              <w:top w:val="single" w:sz="4" w:space="0" w:color="00B7E5"/>
              <w:left w:val="single" w:sz="4" w:space="0" w:color="00B7E5"/>
              <w:bottom w:val="single" w:sz="4" w:space="0" w:color="00B7E5"/>
              <w:right w:val="single" w:sz="4" w:space="0" w:color="00B7E5"/>
            </w:tcBorders>
          </w:tcPr>
          <w:p w14:paraId="00F3B46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05D28F7"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0F95922"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68DD44AE"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BA0A8CF"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2D78C40C"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D05D8B4"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34572AC9"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tcPr>
          <w:p w14:paraId="0F11401B" w14:textId="77777777" w:rsidR="00BC6152" w:rsidRDefault="00BC6152" w:rsidP="006F1030">
            <w:pPr>
              <w:rPr>
                <w:sz w:val="20"/>
                <w:szCs w:val="20"/>
              </w:rPr>
            </w:pPr>
          </w:p>
        </w:tc>
      </w:tr>
      <w:tr w:rsidR="00BC6152" w14:paraId="67C4CBFE" w14:textId="77777777" w:rsidTr="004964B1">
        <w:trPr>
          <w:trHeight w:val="397"/>
        </w:trPr>
        <w:tc>
          <w:tcPr>
            <w:tcW w:w="3683" w:type="dxa"/>
            <w:tcBorders>
              <w:top w:val="single" w:sz="4" w:space="0" w:color="00B7E5"/>
              <w:left w:val="nil"/>
              <w:bottom w:val="single" w:sz="4" w:space="0" w:color="00B7E5"/>
              <w:right w:val="single" w:sz="4" w:space="0" w:color="00B7E5"/>
            </w:tcBorders>
            <w:vAlign w:val="center"/>
            <w:hideMark/>
          </w:tcPr>
          <w:p w14:paraId="403523F4" w14:textId="77777777" w:rsidR="00BC6152" w:rsidRDefault="00BC6152" w:rsidP="006F1030">
            <w:pPr>
              <w:rPr>
                <w:sz w:val="20"/>
                <w:szCs w:val="20"/>
              </w:rPr>
            </w:pPr>
            <w:r>
              <w:rPr>
                <w:sz w:val="20"/>
                <w:szCs w:val="20"/>
              </w:rPr>
              <w:t>WSP</w:t>
            </w:r>
          </w:p>
        </w:tc>
        <w:tc>
          <w:tcPr>
            <w:tcW w:w="3290" w:type="dxa"/>
            <w:tcBorders>
              <w:top w:val="single" w:sz="4" w:space="0" w:color="00B7E5"/>
              <w:left w:val="nil"/>
              <w:bottom w:val="single" w:sz="4" w:space="0" w:color="00B7E5"/>
              <w:right w:val="single" w:sz="4" w:space="0" w:color="00B7E5"/>
            </w:tcBorders>
            <w:vAlign w:val="center"/>
            <w:hideMark/>
          </w:tcPr>
          <w:p w14:paraId="51B13017" w14:textId="77777777" w:rsidR="00BC6152" w:rsidRDefault="00BC6152" w:rsidP="006F1030">
            <w:pPr>
              <w:rPr>
                <w:sz w:val="20"/>
                <w:szCs w:val="20"/>
              </w:rPr>
            </w:pPr>
            <w:r>
              <w:rPr>
                <w:sz w:val="20"/>
                <w:szCs w:val="20"/>
              </w:rPr>
              <w:t>Implementation of WSP</w:t>
            </w:r>
          </w:p>
        </w:tc>
        <w:tc>
          <w:tcPr>
            <w:tcW w:w="1196" w:type="dxa"/>
            <w:tcBorders>
              <w:top w:val="single" w:sz="4" w:space="0" w:color="00B7E5"/>
              <w:left w:val="single" w:sz="4" w:space="0" w:color="00B7E5"/>
              <w:bottom w:val="single" w:sz="4" w:space="0" w:color="00B7E5"/>
              <w:right w:val="single" w:sz="4" w:space="0" w:color="00B7E5"/>
            </w:tcBorders>
            <w:vAlign w:val="center"/>
            <w:hideMark/>
          </w:tcPr>
          <w:p w14:paraId="158EC424" w14:textId="77777777" w:rsidR="00BC6152" w:rsidRDefault="00BC6152" w:rsidP="006F1030">
            <w:pPr>
              <w:rPr>
                <w:sz w:val="20"/>
                <w:szCs w:val="20"/>
              </w:rPr>
            </w:pPr>
            <w:r>
              <w:rPr>
                <w:sz w:val="20"/>
                <w:szCs w:val="20"/>
              </w:rPr>
              <w:t>Supervise</w:t>
            </w:r>
          </w:p>
        </w:tc>
        <w:tc>
          <w:tcPr>
            <w:tcW w:w="699" w:type="dxa"/>
            <w:tcBorders>
              <w:top w:val="single" w:sz="4" w:space="0" w:color="00B7E5"/>
              <w:left w:val="single" w:sz="4" w:space="0" w:color="00B7E5"/>
              <w:bottom w:val="single" w:sz="4" w:space="0" w:color="00B7E5"/>
              <w:right w:val="single" w:sz="4" w:space="0" w:color="00B7E5"/>
            </w:tcBorders>
            <w:shd w:val="clear" w:color="auto" w:fill="D9D9D9" w:themeFill="background1" w:themeFillShade="D9"/>
          </w:tcPr>
          <w:p w14:paraId="21074E2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304D128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17CD2E13"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356D3EA2"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3B089B61"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543D9980"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5A36A55B"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7D727670" w14:textId="77777777" w:rsidR="00BC6152" w:rsidRDefault="00BC6152" w:rsidP="006F1030">
            <w:pPr>
              <w:rPr>
                <w:sz w:val="20"/>
                <w:szCs w:val="20"/>
              </w:rPr>
            </w:pPr>
          </w:p>
        </w:tc>
        <w:tc>
          <w:tcPr>
            <w:tcW w:w="699" w:type="dxa"/>
            <w:tcBorders>
              <w:top w:val="single" w:sz="4" w:space="0" w:color="00B7E5"/>
              <w:left w:val="nil"/>
              <w:bottom w:val="single" w:sz="4" w:space="0" w:color="00B7E5"/>
              <w:right w:val="single" w:sz="4" w:space="0" w:color="00B7E5"/>
            </w:tcBorders>
            <w:shd w:val="clear" w:color="auto" w:fill="D9D9D9" w:themeFill="background1" w:themeFillShade="D9"/>
          </w:tcPr>
          <w:p w14:paraId="2B36937C" w14:textId="77777777" w:rsidR="00BC6152" w:rsidRDefault="00BC6152" w:rsidP="006F1030">
            <w:pPr>
              <w:rPr>
                <w:sz w:val="20"/>
                <w:szCs w:val="20"/>
              </w:rPr>
            </w:pPr>
          </w:p>
        </w:tc>
      </w:tr>
    </w:tbl>
    <w:p w14:paraId="2B1AD902" w14:textId="77777777" w:rsidR="00BC6152" w:rsidRPr="00726B51" w:rsidRDefault="00BC6152" w:rsidP="00726B51">
      <w:pPr>
        <w:spacing w:line="276" w:lineRule="auto"/>
        <w:rPr>
          <w:bCs/>
          <w:sz w:val="22"/>
          <w:szCs w:val="22"/>
        </w:rPr>
      </w:pPr>
    </w:p>
    <w:sectPr w:rsidR="00BC6152" w:rsidRPr="00726B51" w:rsidSect="00BC6152">
      <w:pgSz w:w="16840" w:h="11907" w:orient="landscape" w:code="9"/>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67ED" w14:textId="77777777" w:rsidR="004830AA" w:rsidRDefault="004830AA" w:rsidP="00067A49">
      <w:r>
        <w:separator/>
      </w:r>
    </w:p>
  </w:endnote>
  <w:endnote w:type="continuationSeparator" w:id="0">
    <w:p w14:paraId="6E2F1078" w14:textId="77777777" w:rsidR="004830AA" w:rsidRDefault="004830AA" w:rsidP="0006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F645" w14:textId="77777777" w:rsidR="005645F0" w:rsidRDefault="005645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434B3" w14:textId="13089569" w:rsidR="00357EE8" w:rsidRDefault="005F7195"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5F1E23">
      <w:rPr>
        <w:noProof/>
        <w:sz w:val="20"/>
        <w:szCs w:val="20"/>
      </w:rPr>
      <w:t>2</w:t>
    </w:r>
    <w:r w:rsidRPr="00884A64">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4A3B4" w14:textId="77777777" w:rsidR="005645F0" w:rsidRDefault="005645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54508" w14:textId="77777777" w:rsidR="004830AA" w:rsidRDefault="004830AA" w:rsidP="00067A49">
      <w:r>
        <w:separator/>
      </w:r>
    </w:p>
  </w:footnote>
  <w:footnote w:type="continuationSeparator" w:id="0">
    <w:p w14:paraId="755DE32E" w14:textId="77777777" w:rsidR="004830AA" w:rsidRDefault="004830AA" w:rsidP="00067A49">
      <w:r>
        <w:continuationSeparator/>
      </w:r>
    </w:p>
  </w:footnote>
  <w:footnote w:id="1">
    <w:p w14:paraId="03D2C836" w14:textId="77777777" w:rsidR="00BC6152" w:rsidRPr="00382182" w:rsidRDefault="00BC6152" w:rsidP="00BC6152">
      <w:pPr>
        <w:pStyle w:val="Funotentext"/>
        <w:rPr>
          <w:rFonts w:ascii="Times New Roman" w:hAnsi="Times New Roman" w:cs="Times New Roman"/>
          <w:lang w:val="en-GB"/>
        </w:rPr>
      </w:pPr>
      <w:r>
        <w:rPr>
          <w:rStyle w:val="Funotenzeichen"/>
          <w:rFonts w:ascii="Times New Roman" w:hAnsi="Times New Roman" w:cs="Times New Roman"/>
        </w:rPr>
        <w:footnoteRef/>
      </w:r>
      <w:r w:rsidRPr="00382182">
        <w:rPr>
          <w:rFonts w:ascii="Times New Roman" w:hAnsi="Times New Roman" w:cs="Times New Roman"/>
          <w:lang w:val="en-GB"/>
        </w:rPr>
        <w:t xml:space="preserve"> Observe: Processes are followed, and advice will be provided where necessary or requested</w:t>
      </w:r>
    </w:p>
  </w:footnote>
  <w:footnote w:id="2">
    <w:p w14:paraId="48577989" w14:textId="77777777" w:rsidR="00BC6152" w:rsidRPr="00382182" w:rsidRDefault="00BC6152" w:rsidP="00BC6152">
      <w:pPr>
        <w:pStyle w:val="Funotentext"/>
        <w:rPr>
          <w:rFonts w:asciiTheme="minorHAnsi" w:hAnsiTheme="minorHAnsi" w:cstheme="minorBidi"/>
          <w:lang w:val="en-GB"/>
        </w:rPr>
      </w:pPr>
      <w:r>
        <w:rPr>
          <w:rStyle w:val="Funotenzeichen"/>
          <w:rFonts w:ascii="Times New Roman" w:hAnsi="Times New Roman" w:cs="Times New Roman"/>
        </w:rPr>
        <w:footnoteRef/>
      </w:r>
      <w:r w:rsidRPr="00382182">
        <w:rPr>
          <w:rFonts w:ascii="Times New Roman" w:hAnsi="Times New Roman" w:cs="Times New Roman"/>
          <w:lang w:val="en-GB"/>
        </w:rPr>
        <w:t xml:space="preserve"> Oversee: Processes and products are followed and aligned to trilateral policy and coordinated where necessary</w:t>
      </w:r>
    </w:p>
  </w:footnote>
  <w:footnote w:id="3">
    <w:p w14:paraId="5EDE6644" w14:textId="77777777" w:rsidR="00BC6152" w:rsidRPr="00382182" w:rsidRDefault="00BC6152" w:rsidP="00BC6152">
      <w:pPr>
        <w:pStyle w:val="Funotentext"/>
        <w:rPr>
          <w:rFonts w:ascii="Times New Roman" w:hAnsi="Times New Roman" w:cs="Times New Roman"/>
          <w:sz w:val="18"/>
          <w:szCs w:val="18"/>
          <w:lang w:val="en-GB"/>
        </w:rPr>
      </w:pPr>
      <w:r>
        <w:rPr>
          <w:rStyle w:val="Funotenzeichen"/>
          <w:rFonts w:ascii="Times New Roman" w:hAnsi="Times New Roman" w:cs="Times New Roman"/>
          <w:sz w:val="18"/>
          <w:szCs w:val="18"/>
        </w:rPr>
        <w:footnoteRef/>
      </w:r>
      <w:r w:rsidRPr="00382182">
        <w:rPr>
          <w:rFonts w:ascii="Times New Roman" w:hAnsi="Times New Roman" w:cs="Times New Roman"/>
          <w:sz w:val="18"/>
          <w:szCs w:val="18"/>
          <w:lang w:val="en-GB"/>
        </w:rPr>
        <w:t xml:space="preserve"> </w:t>
      </w:r>
      <w:bookmarkStart w:id="1" w:name="_Hlk6310122"/>
      <w:r w:rsidRPr="00382182">
        <w:rPr>
          <w:rFonts w:ascii="Times New Roman" w:hAnsi="Times New Roman" w:cs="Times New Roman"/>
          <w:sz w:val="18"/>
          <w:szCs w:val="18"/>
          <w:lang w:val="en-GB"/>
        </w:rPr>
        <w:t>Item transferred to TG-MA during WSB 28</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CE83E" w14:textId="77777777" w:rsidR="005645F0" w:rsidRDefault="005645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B3448" w14:textId="3988A07E" w:rsidR="00877451" w:rsidRPr="00877451" w:rsidRDefault="00877451" w:rsidP="00877451">
    <w:pPr>
      <w:tabs>
        <w:tab w:val="left" w:pos="2160"/>
      </w:tabs>
      <w:spacing w:after="120" w:line="276" w:lineRule="auto"/>
      <w:rPr>
        <w:bCs/>
        <w:sz w:val="18"/>
        <w:szCs w:val="18"/>
        <w:lang w:val="en-GB"/>
      </w:rPr>
    </w:pPr>
    <w:r w:rsidRPr="00877451">
      <w:rPr>
        <w:bCs/>
        <w:sz w:val="18"/>
        <w:szCs w:val="18"/>
        <w:lang w:val="en-GB"/>
      </w:rPr>
      <w:t>WSB 29/5.2/1</w:t>
    </w:r>
    <w:r>
      <w:rPr>
        <w:bCs/>
        <w:sz w:val="18"/>
        <w:szCs w:val="18"/>
        <w:lang w:val="en-GB"/>
      </w:rPr>
      <w:t xml:space="preserve"> TG-M Report</w:t>
    </w:r>
  </w:p>
  <w:p w14:paraId="50707B3B" w14:textId="383D071C" w:rsidR="001C042F" w:rsidRPr="00FF5F12" w:rsidRDefault="005F7195" w:rsidP="001C042F">
    <w:pPr>
      <w:pStyle w:val="Kopfzeile"/>
      <w:jc w:val="both"/>
      <w:rPr>
        <w:sz w:val="16"/>
        <w:szCs w:val="16"/>
      </w:rPr>
    </w:pPr>
    <w:r w:rsidRPr="00FF5F12">
      <w:rPr>
        <w:sz w:val="16"/>
        <w:szCs w:val="16"/>
      </w:rPr>
      <w:tab/>
    </w:r>
    <w:r w:rsidRPr="00FF5F12">
      <w:rPr>
        <w:sz w:val="16"/>
        <w:szCs w:val="16"/>
      </w:rPr>
      <w:tab/>
    </w:r>
    <w:r w:rsidRPr="00FF5F12">
      <w:rPr>
        <w:sz w:val="16"/>
        <w:szCs w:val="16"/>
      </w:rPr>
      <w:tab/>
    </w:r>
    <w:r w:rsidRPr="00FF5F12">
      <w:rPr>
        <w:sz w:val="16"/>
        <w:szCs w:val="16"/>
      </w:rPr>
      <w:tab/>
    </w:r>
  </w:p>
  <w:p w14:paraId="06346D64" w14:textId="77777777" w:rsidR="001C042F" w:rsidRPr="00884A64" w:rsidRDefault="002E306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FEEDA" w14:textId="77777777" w:rsidR="005645F0" w:rsidRDefault="005645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2049C"/>
    <w:multiLevelType w:val="multilevel"/>
    <w:tmpl w:val="01F0C9EA"/>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A49"/>
    <w:rsid w:val="00006743"/>
    <w:rsid w:val="00027A67"/>
    <w:rsid w:val="00047394"/>
    <w:rsid w:val="00056B15"/>
    <w:rsid w:val="00065ABB"/>
    <w:rsid w:val="00067A49"/>
    <w:rsid w:val="000851DE"/>
    <w:rsid w:val="00090ACE"/>
    <w:rsid w:val="000D38AF"/>
    <w:rsid w:val="000E72C5"/>
    <w:rsid w:val="001339D3"/>
    <w:rsid w:val="00223E1C"/>
    <w:rsid w:val="00250873"/>
    <w:rsid w:val="00250EC2"/>
    <w:rsid w:val="00266931"/>
    <w:rsid w:val="002B0C23"/>
    <w:rsid w:val="002C516F"/>
    <w:rsid w:val="002C67CF"/>
    <w:rsid w:val="002E190B"/>
    <w:rsid w:val="00312720"/>
    <w:rsid w:val="003230DF"/>
    <w:rsid w:val="003E5BB1"/>
    <w:rsid w:val="0040709D"/>
    <w:rsid w:val="00442252"/>
    <w:rsid w:val="004830AA"/>
    <w:rsid w:val="004964B1"/>
    <w:rsid w:val="005037FE"/>
    <w:rsid w:val="00522878"/>
    <w:rsid w:val="005538E0"/>
    <w:rsid w:val="005645F0"/>
    <w:rsid w:val="00573565"/>
    <w:rsid w:val="005C125B"/>
    <w:rsid w:val="005F1E23"/>
    <w:rsid w:val="005F7195"/>
    <w:rsid w:val="0060751D"/>
    <w:rsid w:val="00621D16"/>
    <w:rsid w:val="00670524"/>
    <w:rsid w:val="006831EC"/>
    <w:rsid w:val="006861F7"/>
    <w:rsid w:val="00726B51"/>
    <w:rsid w:val="00754D96"/>
    <w:rsid w:val="00774613"/>
    <w:rsid w:val="007F6DA6"/>
    <w:rsid w:val="00834965"/>
    <w:rsid w:val="00857399"/>
    <w:rsid w:val="00877451"/>
    <w:rsid w:val="008A0F57"/>
    <w:rsid w:val="008C0DF2"/>
    <w:rsid w:val="008C58A0"/>
    <w:rsid w:val="008F58F3"/>
    <w:rsid w:val="00936B52"/>
    <w:rsid w:val="00960041"/>
    <w:rsid w:val="00973026"/>
    <w:rsid w:val="009829CA"/>
    <w:rsid w:val="009A1002"/>
    <w:rsid w:val="00A02E43"/>
    <w:rsid w:val="00A226BB"/>
    <w:rsid w:val="00A800C3"/>
    <w:rsid w:val="00AA0524"/>
    <w:rsid w:val="00AF0BDC"/>
    <w:rsid w:val="00B73A4A"/>
    <w:rsid w:val="00BA46D8"/>
    <w:rsid w:val="00BB5C41"/>
    <w:rsid w:val="00BC6152"/>
    <w:rsid w:val="00C02037"/>
    <w:rsid w:val="00C06408"/>
    <w:rsid w:val="00C40313"/>
    <w:rsid w:val="00C408CF"/>
    <w:rsid w:val="00D11CD4"/>
    <w:rsid w:val="00D20304"/>
    <w:rsid w:val="00D2116D"/>
    <w:rsid w:val="00D62D8A"/>
    <w:rsid w:val="00DC3E9D"/>
    <w:rsid w:val="00DD6591"/>
    <w:rsid w:val="00DE2518"/>
    <w:rsid w:val="00DF7318"/>
    <w:rsid w:val="00E32536"/>
    <w:rsid w:val="00E97280"/>
    <w:rsid w:val="00EB1C73"/>
    <w:rsid w:val="00F179F7"/>
    <w:rsid w:val="00F30665"/>
    <w:rsid w:val="00F37508"/>
    <w:rsid w:val="00F566FD"/>
    <w:rsid w:val="00F72405"/>
    <w:rsid w:val="00FD5F4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7B8DA5"/>
  <w15:docId w15:val="{F35AA7CD-1A98-4F1B-BE10-A132440D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7A4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67A49"/>
    <w:pPr>
      <w:tabs>
        <w:tab w:val="center" w:pos="4703"/>
        <w:tab w:val="right" w:pos="9406"/>
      </w:tabs>
    </w:pPr>
  </w:style>
  <w:style w:type="character" w:customStyle="1" w:styleId="KopfzeileZchn">
    <w:name w:val="Kopfzeile Zchn"/>
    <w:basedOn w:val="Absatz-Standardschriftart"/>
    <w:link w:val="Kopfzeile"/>
    <w:uiPriority w:val="99"/>
    <w:rsid w:val="00067A49"/>
    <w:rPr>
      <w:rFonts w:ascii="Times New Roman" w:eastAsia="Times New Roman" w:hAnsi="Times New Roman" w:cs="Times New Roman"/>
      <w:sz w:val="24"/>
      <w:szCs w:val="24"/>
      <w:lang w:val="en-US"/>
    </w:rPr>
  </w:style>
  <w:style w:type="paragraph" w:styleId="Fuzeile">
    <w:name w:val="footer"/>
    <w:basedOn w:val="Standard"/>
    <w:link w:val="FuzeileZchn"/>
    <w:rsid w:val="00067A49"/>
    <w:pPr>
      <w:tabs>
        <w:tab w:val="center" w:pos="4703"/>
        <w:tab w:val="right" w:pos="9406"/>
      </w:tabs>
    </w:pPr>
  </w:style>
  <w:style w:type="character" w:customStyle="1" w:styleId="FuzeileZchn">
    <w:name w:val="Fußzeile Zchn"/>
    <w:basedOn w:val="Absatz-Standardschriftart"/>
    <w:link w:val="Fuzeile"/>
    <w:rsid w:val="00067A49"/>
    <w:rPr>
      <w:rFonts w:ascii="Times New Roman" w:eastAsia="Times New Roman" w:hAnsi="Times New Roman" w:cs="Times New Roman"/>
      <w:sz w:val="24"/>
      <w:szCs w:val="24"/>
      <w:lang w:val="en-US"/>
    </w:rPr>
  </w:style>
  <w:style w:type="paragraph" w:styleId="Textkrper">
    <w:name w:val="Body Text"/>
    <w:basedOn w:val="Standard"/>
    <w:link w:val="TextkrperZchn"/>
    <w:rsid w:val="00067A49"/>
    <w:rPr>
      <w:rFonts w:ascii="Arial" w:hAnsi="Arial" w:cs="Arial"/>
      <w:sz w:val="20"/>
      <w:lang w:eastAsia="de-DE"/>
    </w:rPr>
  </w:style>
  <w:style w:type="character" w:customStyle="1" w:styleId="TextkrperZchn">
    <w:name w:val="Textkörper Zchn"/>
    <w:basedOn w:val="Absatz-Standardschriftart"/>
    <w:link w:val="Textkrper"/>
    <w:rsid w:val="00067A49"/>
    <w:rPr>
      <w:rFonts w:ascii="Arial" w:eastAsia="Times New Roman" w:hAnsi="Arial" w:cs="Arial"/>
      <w:sz w:val="20"/>
      <w:szCs w:val="24"/>
      <w:lang w:val="en-US" w:eastAsia="de-DE"/>
    </w:rPr>
  </w:style>
  <w:style w:type="paragraph" w:styleId="Sprechblasentext">
    <w:name w:val="Balloon Text"/>
    <w:basedOn w:val="Standard"/>
    <w:link w:val="SprechblasentextZchn"/>
    <w:uiPriority w:val="99"/>
    <w:semiHidden/>
    <w:unhideWhenUsed/>
    <w:rsid w:val="00067A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7A49"/>
    <w:rPr>
      <w:rFonts w:ascii="Segoe UI" w:eastAsia="Times New Roman" w:hAnsi="Segoe UI" w:cs="Segoe UI"/>
      <w:sz w:val="18"/>
      <w:szCs w:val="18"/>
      <w:lang w:val="en-US"/>
    </w:rPr>
  </w:style>
  <w:style w:type="character" w:styleId="Hyperlink">
    <w:name w:val="Hyperlink"/>
    <w:basedOn w:val="Absatz-Standardschriftart"/>
    <w:uiPriority w:val="99"/>
    <w:unhideWhenUsed/>
    <w:rsid w:val="00312720"/>
    <w:rPr>
      <w:color w:val="0563C1" w:themeColor="hyperlink"/>
      <w:u w:val="single"/>
    </w:rPr>
  </w:style>
  <w:style w:type="character" w:customStyle="1" w:styleId="NichtaufgelsteErwhnung1">
    <w:name w:val="Nicht aufgelöste Erwähnung1"/>
    <w:basedOn w:val="Absatz-Standardschriftart"/>
    <w:uiPriority w:val="99"/>
    <w:semiHidden/>
    <w:unhideWhenUsed/>
    <w:rsid w:val="00312720"/>
    <w:rPr>
      <w:color w:val="605E5C"/>
      <w:shd w:val="clear" w:color="auto" w:fill="E1DFDD"/>
    </w:rPr>
  </w:style>
  <w:style w:type="character" w:styleId="BesuchterLink">
    <w:name w:val="FollowedHyperlink"/>
    <w:basedOn w:val="Absatz-Standardschriftart"/>
    <w:uiPriority w:val="99"/>
    <w:semiHidden/>
    <w:unhideWhenUsed/>
    <w:rsid w:val="00312720"/>
    <w:rPr>
      <w:color w:val="954F72" w:themeColor="followedHyperlink"/>
      <w:u w:val="single"/>
    </w:rPr>
  </w:style>
  <w:style w:type="character" w:styleId="Kommentarzeichen">
    <w:name w:val="annotation reference"/>
    <w:basedOn w:val="Absatz-Standardschriftart"/>
    <w:uiPriority w:val="99"/>
    <w:semiHidden/>
    <w:unhideWhenUsed/>
    <w:rsid w:val="00F72405"/>
    <w:rPr>
      <w:sz w:val="16"/>
      <w:szCs w:val="16"/>
    </w:rPr>
  </w:style>
  <w:style w:type="paragraph" w:styleId="Kommentartext">
    <w:name w:val="annotation text"/>
    <w:basedOn w:val="Standard"/>
    <w:link w:val="KommentartextZchn"/>
    <w:uiPriority w:val="99"/>
    <w:semiHidden/>
    <w:unhideWhenUsed/>
    <w:rsid w:val="00F72405"/>
    <w:rPr>
      <w:sz w:val="20"/>
      <w:szCs w:val="20"/>
    </w:rPr>
  </w:style>
  <w:style w:type="character" w:customStyle="1" w:styleId="KommentartextZchn">
    <w:name w:val="Kommentartext Zchn"/>
    <w:basedOn w:val="Absatz-Standardschriftart"/>
    <w:link w:val="Kommentartext"/>
    <w:uiPriority w:val="99"/>
    <w:semiHidden/>
    <w:rsid w:val="00F72405"/>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F72405"/>
    <w:rPr>
      <w:b/>
      <w:bCs/>
    </w:rPr>
  </w:style>
  <w:style w:type="character" w:customStyle="1" w:styleId="KommentarthemaZchn">
    <w:name w:val="Kommentarthema Zchn"/>
    <w:basedOn w:val="KommentartextZchn"/>
    <w:link w:val="Kommentarthema"/>
    <w:uiPriority w:val="99"/>
    <w:semiHidden/>
    <w:rsid w:val="00F72405"/>
    <w:rPr>
      <w:rFonts w:ascii="Times New Roman" w:eastAsia="Times New Roman" w:hAnsi="Times New Roman" w:cs="Times New Roman"/>
      <w:b/>
      <w:bCs/>
      <w:sz w:val="20"/>
      <w:szCs w:val="20"/>
      <w:lang w:val="en-US"/>
    </w:rPr>
  </w:style>
  <w:style w:type="character" w:customStyle="1" w:styleId="NichtaufgelsteErwhnung2">
    <w:name w:val="Nicht aufgelöste Erwähnung2"/>
    <w:basedOn w:val="Absatz-Standardschriftart"/>
    <w:uiPriority w:val="99"/>
    <w:semiHidden/>
    <w:unhideWhenUsed/>
    <w:rsid w:val="002B0C23"/>
    <w:rPr>
      <w:color w:val="605E5C"/>
      <w:shd w:val="clear" w:color="auto" w:fill="E1DFDD"/>
    </w:rPr>
  </w:style>
  <w:style w:type="paragraph" w:styleId="Listenabsatz">
    <w:name w:val="List Paragraph"/>
    <w:basedOn w:val="Standard"/>
    <w:uiPriority w:val="34"/>
    <w:qFormat/>
    <w:rsid w:val="00774613"/>
    <w:pPr>
      <w:spacing w:after="200" w:line="276" w:lineRule="auto"/>
      <w:ind w:left="708"/>
    </w:pPr>
    <w:rPr>
      <w:rFonts w:ascii="Calibri" w:eastAsia="Calibri" w:hAnsi="Calibri"/>
      <w:sz w:val="22"/>
      <w:szCs w:val="22"/>
      <w:lang w:val="de-DE"/>
    </w:rPr>
  </w:style>
  <w:style w:type="table" w:styleId="Tabellenraster">
    <w:name w:val="Table Grid"/>
    <w:basedOn w:val="NormaleTabelle"/>
    <w:uiPriority w:val="39"/>
    <w:rsid w:val="00BC6152"/>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rsid w:val="00BC6152"/>
    <w:rPr>
      <w:rFonts w:ascii="Arial" w:hAnsi="Arial" w:cs="Arial"/>
      <w:sz w:val="20"/>
      <w:szCs w:val="20"/>
      <w:lang w:val="de-DE" w:eastAsia="de-DE"/>
    </w:rPr>
  </w:style>
  <w:style w:type="character" w:customStyle="1" w:styleId="FunotentextZchn">
    <w:name w:val="Fußnotentext Zchn"/>
    <w:basedOn w:val="Absatz-Standardschriftart"/>
    <w:link w:val="Funotentext"/>
    <w:uiPriority w:val="99"/>
    <w:rsid w:val="00BC6152"/>
    <w:rPr>
      <w:rFonts w:ascii="Arial" w:eastAsia="Times New Roman" w:hAnsi="Arial" w:cs="Arial"/>
      <w:sz w:val="20"/>
      <w:szCs w:val="20"/>
      <w:lang w:val="de-DE" w:eastAsia="de-DE"/>
    </w:rPr>
  </w:style>
  <w:style w:type="character" w:styleId="Funotenzeichen">
    <w:name w:val="footnote reference"/>
    <w:uiPriority w:val="99"/>
    <w:rsid w:val="00BC61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1637</Words>
  <Characters>9336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Sascha Klöpper</dc:creator>
  <cp:lastModifiedBy>SKlöpper</cp:lastModifiedBy>
  <cp:revision>2</cp:revision>
  <cp:lastPrinted>2019-02-25T15:41:00Z</cp:lastPrinted>
  <dcterms:created xsi:type="dcterms:W3CDTF">2019-06-13T10:18:00Z</dcterms:created>
  <dcterms:modified xsi:type="dcterms:W3CDTF">2019-06-13T10:18:00Z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